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POAS</w:t>
      </w:r>
      <w:r>
        <w:rPr>
          <w:rFonts w:ascii="Calibri" w:hAnsi="Calibri"/>
          <w:b/>
          <w:color w:val="1A2010"/>
          <w:sz w:val="40"/>
        </w:rPr>
        <w:t xml:space="preserve">  Phaos Technology Holdings (Cayman) Limited</w:t>
      </w:r>
    </w:p>
    <w:p>
      <w:pPr>
        <w:spacing w:after="120"/>
      </w:pPr>
      <w:r>
        <w:rPr>
          <w:rFonts w:ascii="Calibri" w:hAnsi="Calibri"/>
          <w:b/>
          <w:color w:val="6E8450"/>
          <w:sz w:val="18"/>
        </w:rPr>
        <w:t>GROWTH SLEEVE · 2026-08-05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NYSE · Singapore</w:t>
      </w:r>
    </w:p>
    <w:p>
      <w:pPr>
        <w:spacing w:after="80"/>
      </w:pPr>
      <w:r>
        <w:rPr>
          <w:rFonts w:ascii="Calibri" w:hAnsi="Calibri"/>
          <w:b w:val="0"/>
          <w:color w:val="3A4A28"/>
          <w:sz w:val="20"/>
        </w:rPr>
        <w:t>Phaos Technology Holdings is a Singapore-based company that manufactures and commercializes advanced microscopy-related solutions for manufacturing, biomedical, and semiconductor industries. Its patented microsphere-assisted technology provides the only commercially available advanced optical microscope capable of imaging below the 200nm optical limit. Products include super-resolution imagers achieving 137nm resolution and specialized microscopes. The company IPO'd on NYSE American in November 2025 at $4.00 per share.</w:t>
      </w:r>
    </w:p>
    <w:p>
      <w:r>
        <w:rPr>
          <w:rFonts w:ascii="Calibri" w:hAnsi="Calibri"/>
          <w:b/>
          <w:color w:val="6E8450"/>
          <w:sz w:val="18"/>
        </w:rPr>
        <w:t>25 Employees · https://phaostech.com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successful product launches or pivots generating meaningful revenue in the past 5 years. FY2025 revenue collapsed 91% to just $167,707, indicating that prior product development has not translated into commercial traction [1]. The company remains in its early commercialization phase despite being founded in 2017. AI Deployment (0/2): No evidence of AI-powered products shipping to customers or AI-driven cost savings. While the previous report cited AI-powered microscopy software, no specific quantified results or customer deployments were identified. Market Share (0/2): With $167,707 in annual revenue, Phaos has negligible market share in the microscopy industry dominated by Zeiss, Olympus, Nikon, and Leica — companies with revenue exceeding $1B each [2]. Pipeline (0/2): The company claims its microsphere technology can image below 200nm, but no next-gen products with specific launch dates or revenue visibility have been announced. R&amp;D Intensity (1/1): As a technology company with 25 employees focused primarily on R&amp;D and commercialization of novel microscopy technology, R&amp;D intensity is high relative to revenue, consistent with an early-stage technology firm.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Phaos states it is committed to advancing microscopy technology for manufacturing, biomedical, and semiconductor applications. This is clear about what the company does but generic and interchangeable with any scientific instrumentation company — no transformative vision articulated [2]. Community Impact (0/2): No evidence of charitable programs, foundation, or specific community investment with dollar amounts or measurable impact. Employee Retention (0/2): No employee retention data available for this 25-person Singapore-based company; no Glassdoor reviews or employee sentiment data found. Insider Buying (0/2): No evidence of meaningful insider buying activity by CEO Andrew Yeo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201,260 shares at $0.30 stock price yields daily dollar volume of approximately $60,378, well below the $1,000,000 liquidity floor [1]. Infrastructure score is automatically set to 0 regardless of other metrics. For context, the underlying financials are also critically weak: FY2025 revenue collapsed 91% to $167,707, losses widened 118% to -$5.14M, and the stock has declined from its $4.00 IPO price to $0.30 — a 92.5% loss [1]. The company has experienced 'unusual market action' notifications from NYSE American in both February and June 2026, suggesting speculative trading rather than fundamental investment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Phaos Technology is too early-stage and financially distressed to demonstrate meaningful infinite game characteristics. The company went public in November 2025 at $4.00 per share and has since seen its stock decline 92.5% to $0.30 while revenue collapsed 91%. The unusual market action notifications from NYSE American suggest the stock has become a speculative trading vehicle rather than a long-term investment. Without organizational stability, revenue traction, or demonstrated strategic purpose, Phaos cannot credibly be assessed through Sinek's endurance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Advancing microscopy technology for manufacturing, biomedical, and semiconductor applications serves a genuine societal need — better imaging tools enable scientific discovery and manufacturing quality control [2]. However, the purpose statement is generic, and the 91% revenue decline raises questions about whether the company is driven by purpose or fighting for survival. No evidence that mission drives strategic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sentiment data, Glassdoor reviews, or retention metrics are available for this 25-person Singapore-based company. The 92.5% stock price decline from the November 2025 IPO and two NYSE unusual market action notifications in 2026 create organizational stress and uncertainty that likely undermine team trust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or learning from the strengths of dominant microscopy competitors Zeiss, Olympus, Nikon, or Leica. The company's messaging focuses on its unique technology claims rather than competitive learning or self-improvement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Founded in 2017, Phaos has remained focused on microscopy products since inception and has not faced the kind of existential test that would reveal strategic flexibility. The 91% revenue decline has not produced any visible strategic pivot or adaptation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The November 2025 IPO raised $14M but the stock has lost 92.5% of its value, suggesting the public listing may have been driven by capital needs rather than long-term strategic conviction. No examples of leadership sacrificing near-term results for long-term capability building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Phaos Technology offers speculative exposure to advanced sub-diffraction-limit microscopy with a patented microsphere-assisted technology that the company claims is the only commercially available system capable of imaging below 200nm [2]. The super-resolution imagers achieving 137nm resolution serve growing markets in semiconductor inspection, biomedical research, and manufacturing quality control. The $5M market cap and $0.30 stock price mean any meaningful revenue recovery or strategic partnership would produce outsized percentage returns.</w:t>
      </w:r>
    </w:p>
    <w:p>
      <w:pPr>
        <w:spacing w:after="120"/>
      </w:pPr>
      <w:r>
        <w:rPr>
          <w:rFonts w:ascii="Calibri" w:hAnsi="Calibri"/>
          <w:b w:val="0"/>
          <w:color w:val="3A4A28"/>
          <w:sz w:val="20"/>
        </w:rPr>
        <w:t>The bear case is severe and multi-dimensional. FY2025 revenue collapsed 91% to just $167,707 — below the annual salary of a single engineer — while losses widened 118% to $5.14M [1]. The stock has lost 92.5% of its value since the November 2025 IPO at $4.00, and NYSE American has issued unusual market action notifications twice in 2026, suggesting speculative trading dynamics [3]. Daily dollar volume of approximately $60,000 fails the IOWN liquidity floor, making meaningful position-building or exit impossible. Phaos competes against microscopy giants Zeiss, Olympus, Nikon, and Leica with 10,000x or more revenue and global distribution networks. Going concern risk is material given the cash burn rate and minimal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stabilization or recovery from the FY2025 trough would demonstrate the 91% decline was a one-time event rather than structural business failure [1]</w:t>
      </w:r>
    </w:p>
    <w:p>
      <w:pPr>
        <w:spacing w:before="40" w:after="40"/>
        <w:ind w:left="283"/>
      </w:pPr>
      <w:r>
        <w:rPr>
          <w:rFonts w:ascii="Calibri" w:hAnsi="Calibri"/>
          <w:b/>
          <w:color w:val="4A6B25"/>
          <w:sz w:val="20"/>
        </w:rPr>
        <w:t xml:space="preserve">2. </w:t>
      </w:r>
      <w:r>
        <w:rPr>
          <w:rFonts w:ascii="Calibri" w:hAnsi="Calibri"/>
          <w:b w:val="0"/>
          <w:color w:val="3A4A28"/>
          <w:sz w:val="20"/>
        </w:rPr>
        <w:t>Customer wins in semiconductor inspection or biomedical research could validate the sub-200nm microscopy value proposition against established competitors</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acquisition interest from a larger scientific instrumentation company seeking proprietary microsphere-assisted imaging technology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91% revenue decline to $167,707 with -$5.14M annual losses and limited cash reserves suggests the company may require emergency capital raising, further diluting shareholders [1]</w:t>
      </w:r>
    </w:p>
    <w:p>
      <w:pPr>
        <w:spacing w:before="40" w:after="40"/>
        <w:ind w:left="283"/>
      </w:pPr>
      <w:r>
        <w:rPr>
          <w:rFonts w:ascii="Calibri" w:hAnsi="Calibri"/>
          <w:b/>
          <w:color w:val="4A6B25"/>
          <w:sz w:val="20"/>
        </w:rPr>
        <w:t xml:space="preserve">2. </w:t>
      </w:r>
      <w:r>
        <w:rPr>
          <w:rFonts w:ascii="Calibri" w:hAnsi="Calibri"/>
          <w:b w:val="0"/>
          <w:color w:val="3A4A28"/>
          <w:sz w:val="20"/>
        </w:rPr>
        <w:t>Liquidity risk: average daily dollar volume of approximately $60,000 makes it impossible for institutional investors to build or exit positions without moving the stock price dramatically</w:t>
      </w:r>
    </w:p>
    <w:p>
      <w:pPr>
        <w:spacing w:before="40" w:after="40"/>
        <w:ind w:left="283"/>
      </w:pPr>
      <w:r>
        <w:rPr>
          <w:rFonts w:ascii="Calibri" w:hAnsi="Calibri"/>
          <w:b/>
          <w:color w:val="4A6B25"/>
          <w:sz w:val="20"/>
        </w:rPr>
        <w:t xml:space="preserve">3. </w:t>
      </w:r>
      <w:r>
        <w:rPr>
          <w:rFonts w:ascii="Calibri" w:hAnsi="Calibri"/>
          <w:b w:val="0"/>
          <w:color w:val="3A4A28"/>
          <w:sz w:val="20"/>
        </w:rPr>
        <w:t>Competitive annihilation risk: Phaos competes against Zeiss, Olympus, Nikon, and Leica — companies with 10,000x+ more revenue, global distribution, and AI-enhanced R&amp;D capabilities that can replicate microsphere-assisted techniques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Phaos operates in advanced microscopy, a physical-world technology requiring precision optics and hardware that AI alone cannot replace. The company's microsphere-assisted technology for sub-200nm imaging relies on physical optics, not computational methods [2]. However, AI is increasingly enabling computational microscopy techniques — Google, Microsoft, and academic labs are developing AI-powered image enhancement that turns low-cost microscopes into high-resolution systems, creating substitution risk for Phaos's premium hardware offerings. The company's tiny scale (25 employees, $168K revenue) makes it particularly vulnerable to AI-driven disruption from larger competitors like Zeiss and Olympus who have far greater AI development resources. AI Opportunity (0/1): No quantifiable AI-generated revenue. While microscopy products may incorporate some software, total revenue of $167,707 makes any AI contribution negligible in absolute terms.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Phaos Technology Financial Data — StockAnalysis, Investing.com, CompaniesMarketCap, FY2025 revenue $167,707 (-91% YoY),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Phaos Technology Company Profile and Technology — PhaosT ech.com, RenaissanceCapital IPO Profile, SEC Filings, 2025-2026</w:t>
      </w:r>
    </w:p>
    <w:p>
      <w:pPr>
        <w:spacing w:before="20" w:after="20"/>
        <w:ind w:left="170"/>
      </w:pPr>
      <w:r>
        <w:rPr>
          <w:rFonts w:ascii="Calibri" w:hAnsi="Calibri"/>
          <w:b/>
          <w:color w:val="4A6B25"/>
          <w:sz w:val="15"/>
        </w:rPr>
        <w:t xml:space="preserve">3. </w:t>
      </w:r>
      <w:r>
        <w:rPr>
          <w:rFonts w:ascii="Calibri" w:hAnsi="Calibri"/>
          <w:b w:val="0"/>
          <w:color w:val="3A4A28"/>
          <w:sz w:val="17"/>
        </w:rPr>
        <w:t>NYSE American Unusual Market Action Notifications — GlobeNewsWire, February and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