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PROP</w:t>
      </w:r>
      <w:r>
        <w:rPr>
          <w:rFonts w:ascii="Calibri" w:hAnsi="Calibri"/>
          <w:b/>
          <w:color w:val="1A2010"/>
          <w:sz w:val="40"/>
        </w:rPr>
        <w:t xml:space="preserve">  Prairie Operating Co.</w:t>
      </w:r>
    </w:p>
    <w:p>
      <w:pPr>
        <w:spacing w:after="120"/>
      </w:pPr>
      <w:r>
        <w:rPr>
          <w:rFonts w:ascii="Calibri" w:hAnsi="Calibri"/>
          <w:b/>
          <w:color w:val="6E8450"/>
          <w:sz w:val="18"/>
        </w:rPr>
        <w:t>GROWTH SLEEVE · 2026-07-19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Prairie Operating Co. is an independent energy company engaged in the acquisition, development, and production of crude oil, natural gas, and natural gas liquids, with assets concentrated in the oil and liquids-rich Niobrara and Codell formations of Colorado's Denver-Julesburg (DJ) Basin. The company scaled rapidly since 2023 through a series of asset acquisitions following a reverse merger. Headquartered in Houston, Texas.</w:t>
      </w:r>
    </w:p>
    <w:p>
      <w:r>
        <w:rPr>
          <w:rFonts w:ascii="Calibri" w:hAnsi="Calibri"/>
          <w:b/>
          <w:color w:val="6E8450"/>
          <w:sz w:val="18"/>
        </w:rPr>
        <w:t>59 Employees · https://www.prairieopco.com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Prairie transformed from a shell entity into an operating DJ Basin producer through a series of acquisitions since 2023, scaling revenue from $0.52M (FY2023) to $241.65M (FY2025) — a significant pivot that opened a new revenue stream, though it was accomplished via M&amp;A roll-up rather than organic product or technology innovation [1][3]. AI Deployment (0/2): No evidence found of AI-powered operations or quantified AI-driven savings. Market Share (1/2): Prairie is a meaningful but non-dominant independent producer in the competitive DJ Basin, averaging 23,200 Boe/d in Q1 2026 [1]. Product Pipeline (1/2): 2026 guidance was reaffirmed at 25,500-27,500 Boe/d average daily production with $240-260M Adjusted EBITDA, giving near-term visibility but no differentiated next-generation technology [1]. R&amp;D Intensity (0/1): Not applicable/no evidence of material R&amp;D spend, typical for an E&amp;P roll-up.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Prairie states that 'sustainability is at the core of everything Prairie does,' but this is generic energy-sector boilerplate with no distinctive articulation of purpose beyond production growth and shareholder value [3]. Community Impact (0/2): No evidence of charitable giving or community investment programs was found. Employee Retention (0/2): The company underwent a leadership shakeup in June 2026 in which the co-founder CEO resigned and the president retired amid a reported $4M separation payout — a signal of instability rather than retention strength [2]. Insider Buying (0/2): No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Prairie is unprofitable with ROE of -49.0% and profit margin of -37.9%, both scoring zero on the floor [4]. D/E of 155% is elevated but well short of the 300% floor. Revenue growth YoY is explosive (2,943.8% in FY2025) but is an artifact of the 2023 reverse-merger pivot from near-zero base revenue rather than organic growth, so the 5yr CAGR metric is excluded as not meaningful for a business that changed identity mid-period [1][4]. Forward P/E of 1.29 is extremely low against 2026 guidance of $55-65M net income, though this reflects the market pricing significant execution and commodity-price risk into a sub-$1 stock rather than genuine undervaluation. Liquidity floor cleared but narrowly: ~2.0M avg daily volume x $0.7765 = ~$1.56M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Prairie Operating reads as a finite-game roll-up vehicle: a formerly unrelated shell company repurposed into an E&amp;P through opportunistic acquisitions, with no articulated Just Cause, a recent abrupt leadership shakeup with a multimillion-dollar separation payout, and no evidence of principled long-term sacrifice or worthy-rival framing.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an articulated purpose beyond production growth and shareholder value; the 'sustainability is core' language is generic and unconnected to specific strategic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June 2026 resignation of the co-founder CEO and retirement of the president, accompanied by a reported $4M separation payout, signals organizational instability at a company with only 59 employees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Prairie framing DJ Basin competitors as sources of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Prairie's reverse-merger transformation from its prior corporate identity into a DJ Basin oil and gas producer in 2023 represents a real strategic pivot, though it was opportunistic capital-markets engineering rather than a pivot in service of an established Just Cause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the June 2026 CEO resignation and president retirement with a $4M separation payout reads as abrupt executive turnover rather than principled long-term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Prairie Operating has scaled rapidly since its 2023 pivot into DJ Basin oil and gas, posting Q1 2026 revenue of $83.4M (up over 500% quarter-over-quarter) and Adjusted EBITDA of $37.2M, with 2026 guidance reaffirmed at 25,500-27,500 Boe/d and $240-260M Adjusted EBITDA [1]. The core business is structurally immune to AI disruption, and industry-wide AI adoption in E&amp;P operations (predictive maintenance, drilling optimization) is expected to generate meaningful cost efficiencies across the sector over 2026-2030 [5]. The stock's forward P/E of roughly 1.3x against guided 2026 net income of $55-65M suggests the market is pricing in substantial execution or commodity-price risk relative to the underlying production growth story [1][4].</w:t>
      </w:r>
    </w:p>
    <w:p>
      <w:pPr>
        <w:spacing w:after="120"/>
      </w:pPr>
      <w:r>
        <w:rPr>
          <w:rFonts w:ascii="Calibri" w:hAnsi="Calibri"/>
          <w:b w:val="0"/>
          <w:color w:val="3A4A28"/>
          <w:sz w:val="20"/>
        </w:rPr>
        <w:t>The bigger concerns are financial and governance quality rather than the commodity thesis. ROE of -49% and profit margin of -37.9% reflect a business still working through the costs of its rapid, debt- and equity-funded acquisition strategy, with D/E at 155% [4]. The June 2026 leadership shakeup — co-founder CEO Matthew Lewis Kaplan-style resignation and president retirement with a reported $4M separation payout — introduces execution uncertainty just as the company works to hit its 2026 production and EBITDA targets under new CEO Gregory Patton [2]. There is no distinctive corporate mission, no community investment record, and no evidence of insider buying to signal management conviction, and at $0.78/share with ~$1.56M in daily dollar volume, the stock sits just above IOWN's liquidity floor with limited cushion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against reaffirmed 2026 guidance of 25,500-27,500 Boe/d production and $240-260M Adjusted EBITDA</w:t>
      </w:r>
    </w:p>
    <w:p>
      <w:pPr>
        <w:spacing w:before="40" w:after="40"/>
        <w:ind w:left="283"/>
      </w:pPr>
      <w:r>
        <w:rPr>
          <w:rFonts w:ascii="Calibri" w:hAnsi="Calibri"/>
          <w:b/>
          <w:color w:val="4A6B25"/>
          <w:sz w:val="20"/>
        </w:rPr>
        <w:t xml:space="preserve">2. </w:t>
      </w:r>
      <w:r>
        <w:rPr>
          <w:rFonts w:ascii="Calibri" w:hAnsi="Calibri"/>
          <w:b w:val="0"/>
          <w:color w:val="3A4A28"/>
          <w:sz w:val="20"/>
        </w:rPr>
        <w:t>Stabilization under new CEO Gregory Patton and CFO Michael Shelly following the June 2026 leadership transition</w:t>
      </w:r>
    </w:p>
    <w:p>
      <w:pPr>
        <w:spacing w:before="40" w:after="40"/>
        <w:ind w:left="283"/>
      </w:pPr>
      <w:r>
        <w:rPr>
          <w:rFonts w:ascii="Calibri" w:hAnsi="Calibri"/>
          <w:b/>
          <w:color w:val="4A6B25"/>
          <w:sz w:val="20"/>
        </w:rPr>
        <w:t xml:space="preserve">3. </w:t>
      </w:r>
      <w:r>
        <w:rPr>
          <w:rFonts w:ascii="Calibri" w:hAnsi="Calibri"/>
          <w:b w:val="0"/>
          <w:color w:val="3A4A28"/>
          <w:sz w:val="20"/>
        </w:rPr>
        <w:t>Sustained oil and gas prices supporting the cash flow needed to de-lever the balance sheet from the 2023-2025 acquisition-funded growth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ROE (-49%) and negative profit margin (-37.9%) indicate the business has not yet demonstrated sustainable profitability despite explosive top-line growth</w:t>
      </w:r>
    </w:p>
    <w:p>
      <w:pPr>
        <w:spacing w:before="40" w:after="40"/>
        <w:ind w:left="283"/>
      </w:pPr>
      <w:r>
        <w:rPr>
          <w:rFonts w:ascii="Calibri" w:hAnsi="Calibri"/>
          <w:b/>
          <w:color w:val="4A6B25"/>
          <w:sz w:val="20"/>
        </w:rPr>
        <w:t xml:space="preserve">2. </w:t>
      </w:r>
      <w:r>
        <w:rPr>
          <w:rFonts w:ascii="Calibri" w:hAnsi="Calibri"/>
          <w:b w:val="0"/>
          <w:color w:val="3A4A28"/>
          <w:sz w:val="20"/>
        </w:rPr>
        <w:t>Abrupt June 2026 CEO resignation and president retirement with a $4M separation payout raises questions about execution continuity and board oversight at a 59-employee company</w:t>
      </w:r>
    </w:p>
    <w:p>
      <w:pPr>
        <w:spacing w:before="40" w:after="40"/>
        <w:ind w:left="283"/>
      </w:pPr>
      <w:r>
        <w:rPr>
          <w:rFonts w:ascii="Calibri" w:hAnsi="Calibri"/>
          <w:b/>
          <w:color w:val="4A6B25"/>
          <w:sz w:val="20"/>
        </w:rPr>
        <w:t xml:space="preserve">3. </w:t>
      </w:r>
      <w:r>
        <w:rPr>
          <w:rFonts w:ascii="Calibri" w:hAnsi="Calibri"/>
          <w:b w:val="0"/>
          <w:color w:val="3A4A28"/>
          <w:sz w:val="20"/>
        </w:rPr>
        <w:t>Stock trades at $0.7765 with daily dollar volume of roughly $1.56M, just above the IOWN liquidity floor, leaving little room for volume deterioration before the position becomes untradeable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extraction and production are physical-world operations — drilling, completions, and midstream logistics — that AI cannot substitute. Industry research projects AI and digitalization will create close to $500B in cumulative E&amp;P value from 2026-2030 through cost reduction and higher uptime, positioning AI as an operational enabler rather than a threat to Prairie's core business [5]. AI Opportunity (0/1): No evidence was found that Prairie has disclosed AI-specific revenue or quantified AI-driven cost savings; the company is a small 59-employee operator without a stated AI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Prairie Operating Co. Q1 2026 Results and Reaffirmed 2026 Guidance — GlobeNewswire, Barchart,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Prairie Operating Leadership Transition Coverage — StockTitan, Panabee, June 2026</w:t>
      </w:r>
    </w:p>
    <w:p>
      <w:pPr>
        <w:spacing w:before="20" w:after="20"/>
        <w:ind w:left="170"/>
      </w:pPr>
      <w:r>
        <w:rPr>
          <w:rFonts w:ascii="Calibri" w:hAnsi="Calibri"/>
          <w:b/>
          <w:color w:val="4A6B25"/>
          <w:sz w:val="15"/>
        </w:rPr>
        <w:t xml:space="preserve">3. </w:t>
      </w:r>
      <w:r>
        <w:rPr>
          <w:rFonts w:ascii="Calibri" w:hAnsi="Calibri"/>
          <w:b w:val="0"/>
          <w:color w:val="3A4A28"/>
          <w:sz w:val="17"/>
        </w:rPr>
        <w:t>Prairie Operating Co. Company Profile — stockanalysis.com, prairieopco.com,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Prairie Operating Financial Statistics — stockanalysis.com,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AI in Oil &amp; Gas E&amp;P Value Creation Outlook — Rystad Energy, EY, World Oil,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