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PTCT</w:t>
      </w:r>
      <w:r>
        <w:rPr>
          <w:rFonts w:ascii="Calibri" w:hAnsi="Calibri"/>
          <w:b/>
          <w:color w:val="1A2010"/>
          <w:sz w:val="40"/>
        </w:rPr>
        <w:t xml:space="preserve">  PTC Therapeutics, Inc.</w:t>
      </w:r>
    </w:p>
    <w:p>
      <w:pPr>
        <w:spacing w:after="120"/>
      </w:pPr>
      <w:r>
        <w:rPr>
          <w:rFonts w:ascii="Calibri" w:hAnsi="Calibri"/>
          <w:b/>
          <w:color w:val="6E8450"/>
          <w:sz w:val="18"/>
        </w:rPr>
        <w:t>GROWTH SLEEVE · 2026-08-04 · Inspire: 33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PTC Therapeutics is a global biopharmaceutical company focused on the discovery, development, and commercialization of clinically differentiated medicines for rare diseases. Lead product Sephience (sepiapterin) for phenylketonuria (PKU) launched in 2025 and is achieving rapid penetration. Pipeline includes programs in Friedreich's ataxia, Huntington's disease, and other rare neurological disorders. Market cap approximately $5.7B.</w:t>
      </w:r>
    </w:p>
    <w:p>
      <w:r>
        <w:rPr>
          <w:rFonts w:ascii="Calibri" w:hAnsi="Calibri"/>
          <w:b/>
          <w:color w:val="6E8450"/>
          <w:sz w:val="18"/>
        </w:rPr>
        <w:t>2,000 Employees · https://www.ptcbio.com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Sephience (sepiapterin) for PKU represents a significant new product launch that opened a major new revenue stream — $151M global net product revenue in Q2 2026 alone, up 21% sequentially, with 100% penetration of US Centers of Excellence and 1,647 commercial patients globally [1]. This is a transformative therapy for PKU patients who previously had limited treatment options. AI Deployment (1/2): PTC was named a 2026 INNOVATE100 honoree for combining rigorous science with responsible AI in drug discovery, indicating AI exploration in R&amp;D processes, but no AI-powered products shipping to customers or quantified AI savings reported [2]. Market Share (2/2): Sephience achieved 100% penetration of US Centers of Excellence for PKU and is the dominant treatment in its category — PTC is defining and leading this therapeutic market with no meaningful competition for BH4-responsive PKU patients [1]. Product Pipeline (1/2): Programs in Friedreich's ataxia, Huntington's disease, and other rare neurological disorders, though vatiquinone for Friedreich's ataxia received an FDA Complete Response Letter, raising pipeline uncertainty [3]. R&amp;D Intensity (1/1): As a rare disease biotech, R&amp;D spending is a high percentage of revenue, reflecting top-quartile intensity for the sector.</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PTC's mission centers on 'bringing more moments to patients living with rare diseases' — a specific, thoughtful purpose that connects the company's work to serving patients whose conditions are often ignored by larger pharma companies [2][4]. The mission is genuine and shapes strategic decisions (focus exclusively on rare diseases), but has not been tested through decades of consistent execution given the company's relatively recent commercialization history. Community Impact (1/2): PTC's ESG commitment focuses on patient access programs, charitable giving through patient assistance, and community engagement — well-aligned with its rare disease mission, though not distinctive in scale or scope [4]. Employee Retention (0/2): No specific data found on employee turnover, average tenure, or cultural metrics. CEO Matthew Klein joined in 2023, making leadership relatively new. Insider Buying (0/2): No evidence of meaningful net insider buying by executives identified in research.</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PTC's balance sheet reflects its biotech transition phase — negative stockholders' equity (D/E of -1,452%) from accumulated deficits during years of R&amp;D spending before commercialization, scoring 0 on D/E and ROE components [5]. TTM total revenue declined 42.8% to $1.01B due to the roll-off of large one-time Roche collaboration revenue, though product revenue grew 103% YoY in Q2 2026 ($239M vs $118M) [1][5]. TTM profit margin is approximately -3.8% (net loss of $38M), though Q2 2026 individually was profitable at $83.5M net income on $360.5M revenue [1]. Forward P/E of 48.86 reflects high expectations for the profitability transition [5]. Five-year revenue CAGR of approximately 17% is strong, driven by Sephience launch and pipeline progression. Cash position of $2.23B provides substantial runway [1]. Liquidity floor cleared: 132K avg volume x $68.39 = $9.0M.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PTC demonstrates genuine purpose in serving rare disease patients, and the persistence through years of losses before Sephience's breakthrough reflects long-term thinking. However, the company is relatively young in its commercial phase, leadership is new (CEO Klein since 2023), and there is insufficient evidence of the organizational depth and strategic consistency Sinek would require for an infinite game player.</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PTC's focus on rare diseases — where most pharma companies won't invest due to small patient populations — represents a genuine cause that connects the company's work to something bigger than profit. The company spent over 25 years investing in rare disease biology before achieving commercial success with Sephience, demonstrating that the cause shaped long-term strategic decisions [1][4]. However, the cause hasn't been tested through leadership transitions or existential crises in its current commercial form.</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No specific data found on employee engagement, organizational culture, voluntary turnover, or employee sentiment at PTC Therapeutics. CEO Matthew Klein's appointment in 2023 represents a leadership transition that has not yet been evaluated for its cultural impact. Without data, Sinek would not assign credit for organizational trust.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found of PTC acknowledging competitors' strengths or framing competition as motivation for self-improvement. The rare disease space has limited direct competition, and PTC's public communications emphasize its unique therapeutic capabilities rather than learning from rivals. The company's competitive positioning focuses on scientific differentiation, typical of finite-game thinking in biotech.</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PTC pivoted from dependence on Translarna (which lost EU marketing authorization in 2024) to building its commercial franchise around Sephience for PKU, demonstrating willingness to shift strategic priorities when a core product failed [3]. The company also diversified from neuroscience into broader rare disease categories. However, these pivots remain within the rare disease pharmaceutical space — they represent incremental adaptation, not a transformative reinvention of the business model.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PTC invested for over two decades in rare disease drug development, sustaining cumulative losses exceeding $2B before achieving commercial viability with Sephience — this represents genuine long-term conviction over short-term earnings [1]. The company persisted with Translarna even after EU regulatory setbacks. However, CEO Klein is relatively new (since 2023) and the commercial success is recent, so there is limited evidence of courage under the current leadership team specifically.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PTC Therapeutics is executing a dramatic commercial inflection with Sephience driving record Q2 2026 revenue of $360.5M and a swing to $83.5M net income from a $64.8M loss year-ago [1]. Product revenue of $239M grew 103% YoY, with Sephience reaching $151M in quarterly sales (up 21% QoQ) on 100% penetration of US Centers of Excellence and 1,647 global patients. Management raised FY2026 guidance to $1.18-1.28B total revenue and $850-950M product revenue. The $2.23B cash position provides substantial runway for pipeline investment and potential M&amp;A [1]. The rare disease focus provides orphan drug exclusivity and limited competition, creating durable pricing power for Sephience in the PKU treatment market.</w:t>
      </w:r>
    </w:p>
    <w:p>
      <w:pPr>
        <w:spacing w:after="120"/>
      </w:pPr>
      <w:r>
        <w:rPr>
          <w:rFonts w:ascii="Calibri" w:hAnsi="Calibri"/>
          <w:b w:val="0"/>
          <w:color w:val="3A4A28"/>
          <w:sz w:val="20"/>
        </w:rPr>
        <w:t>The bear case centers on financial fragility and pipeline risk. Negative stockholders' equity from years of accumulated deficits makes traditional valuation metrics (D/E, ROE) meaningless, and TTM total revenue declined 42.8% due to one-time Roche collaboration revenue roll-off [5]. Forward P/E of 48.86 prices in a rapid profitability ramp that depends entirely on continued Sephience uptake — any slowdown in patient enrollment or payer pushback on pricing would compress both earnings and the multiple [5]. The FDA Complete Response Letter for vatiquinone (Friedreich's ataxia) removes a key pipeline catalyst and concentrates commercial risk on a single product franchise [3]. PTC's relatively small patient population (~16,000 PKU patients in the US) creates a natural ceiling on Sephience's revenue potential. New CEO Matthew Klein (since 2023) is still proving himself, and the transition from founder-led to professionally managed adds execution risk during a critical commercialization phase.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Sephience global patient enrollment expansion beyond 1,647 patients toward the estimated 16,000+ addressable PKU population in the US, with international launches driving incremental revenue through 2027 [1]</w:t>
      </w:r>
    </w:p>
    <w:p>
      <w:pPr>
        <w:spacing w:before="40" w:after="40"/>
        <w:ind w:left="283"/>
      </w:pPr>
      <w:r>
        <w:rPr>
          <w:rFonts w:ascii="Calibri" w:hAnsi="Calibri"/>
          <w:b/>
          <w:color w:val="4A6B25"/>
          <w:sz w:val="20"/>
        </w:rPr>
        <w:t xml:space="preserve">2. </w:t>
      </w:r>
      <w:r>
        <w:rPr>
          <w:rFonts w:ascii="Calibri" w:hAnsi="Calibri"/>
          <w:b w:val="0"/>
          <w:color w:val="3A4A28"/>
          <w:sz w:val="20"/>
        </w:rPr>
        <w:t>Profitability inflection accelerating — Q2 2026 net income of $83.5M suggests annualized earnings power of $300M+ once Sephience scales fully, which could drive Forward P/E compression toward 20x</w:t>
      </w:r>
    </w:p>
    <w:p>
      <w:pPr>
        <w:spacing w:before="40" w:after="40"/>
        <w:ind w:left="283"/>
      </w:pPr>
      <w:r>
        <w:rPr>
          <w:rFonts w:ascii="Calibri" w:hAnsi="Calibri"/>
          <w:b/>
          <w:color w:val="4A6B25"/>
          <w:sz w:val="20"/>
        </w:rPr>
        <w:t xml:space="preserve">3. </w:t>
      </w:r>
      <w:r>
        <w:rPr>
          <w:rFonts w:ascii="Calibri" w:hAnsi="Calibri"/>
          <w:b w:val="0"/>
          <w:color w:val="3A4A28"/>
          <w:sz w:val="20"/>
        </w:rPr>
        <w:t>Pipeline readouts in Huntington's disease and other rare neurological programs providing diversification beyond Sephience and reducing single-product concentration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Single-product commercial concentration — Sephience represents the vast majority of product revenue, and any safety signal, payer pushback on pricing, or competitive entry in PKU would disproportionately impact the company [1]</w:t>
      </w:r>
    </w:p>
    <w:p>
      <w:pPr>
        <w:spacing w:before="40" w:after="40"/>
        <w:ind w:left="283"/>
      </w:pPr>
      <w:r>
        <w:rPr>
          <w:rFonts w:ascii="Calibri" w:hAnsi="Calibri"/>
          <w:b/>
          <w:color w:val="4A6B25"/>
          <w:sz w:val="20"/>
        </w:rPr>
        <w:t xml:space="preserve">2. </w:t>
      </w:r>
      <w:r>
        <w:rPr>
          <w:rFonts w:ascii="Calibri" w:hAnsi="Calibri"/>
          <w:b w:val="0"/>
          <w:color w:val="3A4A28"/>
          <w:sz w:val="20"/>
        </w:rPr>
        <w:t>Vatiquinone FDA Complete Response Letter removed the Friedreich's ataxia catalyst, leaving the near-term pipeline thin and increasing dependence on Sephience's continued uptake [3]</w:t>
      </w:r>
    </w:p>
    <w:p>
      <w:pPr>
        <w:spacing w:before="40" w:after="40"/>
        <w:ind w:left="283"/>
      </w:pPr>
      <w:r>
        <w:rPr>
          <w:rFonts w:ascii="Calibri" w:hAnsi="Calibri"/>
          <w:b/>
          <w:color w:val="4A6B25"/>
          <w:sz w:val="20"/>
        </w:rPr>
        <w:t xml:space="preserve">3. </w:t>
      </w:r>
      <w:r>
        <w:rPr>
          <w:rFonts w:ascii="Calibri" w:hAnsi="Calibri"/>
          <w:b w:val="0"/>
          <w:color w:val="3A4A28"/>
          <w:sz w:val="20"/>
        </w:rPr>
        <w:t>Negative stockholders' equity and elevated Forward P/E of 48.86 create vulnerability to multiple compression if the profitability ramp is slower than expected or if rare disease reimbursement policies tighten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PTC's core business — discovering, developing, and commercializing rare disease therapies — is structurally immune to AI disruption. Drug development requires physical clinical trials with real patients, FDA regulatory approval based on clinical data, biological manufacturing of pharmaceutical compounds, and physician-patient relationships for prescribing [3]. Orphan drug exclusivity and rare disease regulatory protections create additional barriers. AI cannot substitute for the physical process of drug manufacturing, distribution, or patient care. AI may modestly accelerate competitor drug discovery timelines, but PTC's first-mover advantage in PKU treatment and orphan drug designations provide strong moats. AI Opportunity (0/1): PTC was recognized as a 2026 INNOVATE100 honoree for responsible AI in drug discovery, indicating internal R&amp;D use, but no quantifiable AI-driven revenue or products are reported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PTC Therapeutics Q2 2026 Earnings Release — record $360.5M revenue, $83.5M net income, raised guidance to $1.18-1.28B, PRNewswire, July 2026</w:t>
      </w:r>
    </w:p>
    <w:p>
      <w:pPr>
        <w:spacing w:before="20" w:after="20"/>
        <w:ind w:left="170"/>
      </w:pPr>
      <w:r>
        <w:rPr>
          <w:rFonts w:ascii="Calibri" w:hAnsi="Calibri"/>
          <w:b/>
          <w:color w:val="4A6B25"/>
          <w:sz w:val="15"/>
        </w:rPr>
        <w:t xml:space="preserve">2. </w:t>
      </w:r>
      <w:r>
        <w:rPr>
          <w:rFonts w:ascii="Calibri" w:hAnsi="Calibri"/>
          <w:b w:val="0"/>
          <w:color w:val="3A4A28"/>
          <w:sz w:val="17"/>
        </w:rPr>
        <w:t>PTC Therapeutics Leadership and INNOVATE100 Recognition — ptcbio.com,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PTC Therapeutics FDA Complete Response Letter for Vatiquinone (Friedreich's Ataxia) — FierceBiotech, August 2025; Translarna EU Rejection — MedCity News, February 2026</w:t>
      </w:r>
    </w:p>
    <w:p>
      <w:pPr>
        <w:spacing w:before="20" w:after="20"/>
        <w:ind w:left="170"/>
      </w:pPr>
      <w:r>
        <w:rPr>
          <w:rFonts w:ascii="Calibri" w:hAnsi="Calibri"/>
          <w:b/>
          <w:color w:val="4A6B25"/>
          <w:sz w:val="15"/>
        </w:rPr>
        <w:t xml:space="preserve">4. </w:t>
      </w:r>
      <w:r>
        <w:rPr>
          <w:rFonts w:ascii="Calibri" w:hAnsi="Calibri"/>
          <w:b w:val="0"/>
          <w:color w:val="3A4A28"/>
          <w:sz w:val="17"/>
        </w:rPr>
        <w:t>PTC Therapeutics ESG Commitment — Responsibility Report Archive, 2020-2025</w:t>
      </w:r>
    </w:p>
    <w:p>
      <w:pPr>
        <w:spacing w:before="20" w:after="20"/>
        <w:ind w:left="170"/>
      </w:pPr>
      <w:r>
        <w:rPr>
          <w:rFonts w:ascii="Calibri" w:hAnsi="Calibri"/>
          <w:b/>
          <w:color w:val="4A6B25"/>
          <w:sz w:val="15"/>
        </w:rPr>
        <w:t xml:space="preserve">5. </w:t>
      </w:r>
      <w:r>
        <w:rPr>
          <w:rFonts w:ascii="Calibri" w:hAnsi="Calibri"/>
          <w:b w:val="0"/>
          <w:color w:val="3A4A28"/>
          <w:sz w:val="17"/>
        </w:rPr>
        <w:t>StockAnalysis — PTCT Key Statistics and Financial Data,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