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w:t>
      </w:r>
      <w:r>
        <w:rPr>
          <w:rFonts w:ascii="Calibri" w:hAnsi="Calibri"/>
          <w:b/>
          <w:color w:val="1A2010"/>
          <w:sz w:val="40"/>
        </w:rPr>
        <w:t xml:space="preserve">  PTC Inc.</w:t>
      </w:r>
    </w:p>
    <w:p>
      <w:pPr>
        <w:spacing w:after="120"/>
      </w:pPr>
      <w:r>
        <w:rPr>
          <w:rFonts w:ascii="Calibri" w:hAnsi="Calibri"/>
          <w:b/>
          <w:color w:val="6E8450"/>
          <w:sz w:val="18"/>
        </w:rPr>
        <w:t>GROWTH SLEEVE · 2026-08-07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PTC Inc. is an industrial software company providing Windchill (product lifecycle management), Creo (CAD), Codebeamer (application lifecycle management), and ServiceMax (service lifecycle management) to manufacturers across the Americas, Europe, and Asia Pacific. The company's 'Intelligent Product Data Foundation' strategy integrates these platforms so AI capabilities can be layered on top of connected product-development data.</w:t>
      </w:r>
    </w:p>
    <w:p>
      <w:r>
        <w:rPr>
          <w:rFonts w:ascii="Calibri" w:hAnsi="Calibri"/>
          <w:b/>
          <w:color w:val="6E8450"/>
          <w:sz w:val="18"/>
        </w:rPr>
        <w:t>7,642 Employees · https://www.ptc.com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PTC has executed multiple significant moves in five years — the Onshape SaaS-CAD acquisition, Codebeamer acquisition, and ServiceMax acquisition — while divesting non-core Kepware and ThingWorx assets to refocus on a unified 'Intelligent Product Data Foundation' platform, a genuine strategic transformation [1]. AI Deployment (2/2): CEO Neil Barua describes ServiceMax's AI features as the company's 'biggest AI win to date,' and Codebeamer now ships AI capabilities that improve requirements quality and remove duplicate requirements for engineering teams — concrete AI products shipping with cited customer results [3]. Market Share (1/2): PTC is a top-tier PLM/ALM vendor alongside Siemens and Dassault Systèmes but is not the outright category leader, with no specific share-gain data found. Product Pipeline (2/2): Management raised FY2026 constant-currency ARR growth guidance to ~9.25% with specific net-new ARR targets ($214M midpoint, $79-92M for Q4) and named product integration milestones across Creo, Windchill, and Codebeamer [1]. R&amp;D Intensity (0/1): No R&amp;D-to-revenue figure benchmarked against peers was found in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PTC's mission of helping manufacturers build 'a smarter, more connected, more sustainable world' through digital product lifecycle management is clear and industry-specific but reads similarly to other industrial-software peers rather than being fully distinctive [3]. Community Impact (1/2): PTC publishes an annual Impact Report and sustainability disclosures, but no dollar-quantified or distinctive community program was found. Employee Retention (2/2): Glassdoor shows a 4.1/5 overall rating, 4.3/5 for culture and values, 86% of employees would recommend working there, and 81% have a positive business outlook — a clearly above-average retention signal [4]. Insider Buying (0/2): No evidence of meaningful net insider buying by CEO Neil Barua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Debt-to-equity of 45% and ROE of 33.47% both clear their targets for full 1.0 scores (the latter capped after exceeding the 15% target). FY2025 revenue growth of 19.18% YoY also clears the 10% target for 1.0, while the 5-year revenue CAGR of 8.6% scores 0.91 against the 10% target. Forward P/E of 17.57 and profit margin of 26.80% both clear their targets for full scores. Forward PEG of 1.96 scores 0.52 against the ≤1.0 target (double-weighted for growth stocks). Combined weighted score: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PTC displays strong infinite-game characteristics. The company has repeatedly reshaped its portfolio — most recently divesting the once-core Kepware and ThingWorx IoT businesses to refocus on a unified product-data platform — a costly, deliberate strategic sacrifice rather than a reactive move. Combined with consistently strong Glassdoor culture ratings (4.1/5 overall, 86% would recommend) and a multi-decade evolution from a CAD-only vendor to an integrated PLM/ALM/AI platform company, PTC shows the pattern of purpose-driven reinvention Sinek looks for, tempered by a lack of evidence around how it frames competitors [1][3][4].</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PTC's purpose of helping manufacturers build a 'smarter, more connected, more sustainable world' through digital product lifecycle management is genuine and has shaped four decades of platform evolution from CAD to IoT to AI, but the cause has not reached the fully validated, industry-defining status Sinek reserves for a top score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ratings of 4.1/5 overall and 4.3/5 for culture and values, with 86% of employees recommending PTC to a friend and 81% expressing a positive business outlook, indicate a high-trust organization, despite some reviews citing pockets of toxic management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PTC publicly acknowledging Siemens' or Dassault Systèmes' strengths as a spur for self-improvement; competitive commentary in earnings materials focuses on ARR growth and deal wins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PTC divested its Kepware and ThingWorx IoT businesses — both formerly core growth pillars — to refocus capital and management attention on the integrated Windchill/Creo/Codebeamer product-data platform, a genuinely painful short-term sacrifice (evident in Q3 2026 revenue coming in below guidance) made in service of long-term strategic clarity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Divesting two previously touted growth businesses (Kepware, ThingWorx) while simultaneously raising FY2026 ARR growth guidance to ~9.25% shows leadership prioritizing long-term platform focus over near-term revenue optics — a pattern of costly, deliberate strategic choices under CEO Neil Barua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delivered a strong Q3 FY2026 with constant-currency ARR (ex-divested Kepware/ThingWorx) up 9.1% YoY to $2.448 billion, running above the high end of prior guidance, and raised its FY2026 ARR growth guidance to ~9.25% with net new ARR guidance of $214 million at the midpoint [1]. FY2025 revenue grew 19.18% to $2.739 billion with EPS up 94.87%, and the balance sheet is strong (D/E of 45%, ROE of 33.47%, profit margin of 26.80%). Management's decision to divest Kepware and ThingWorx to refocus on the core Windchill/Creo/Codebeamer 'Intelligent Product Data Foundation' — with early AI monetization already visible in ServiceMax's 'biggest AI win to date' — supports a durable, purpose-aligned growth story at a reasonable forward P/E of 17.57 [1][3].</w:t>
      </w:r>
    </w:p>
    <w:p>
      <w:pPr>
        <w:spacing w:after="120"/>
      </w:pPr>
      <w:r>
        <w:rPr>
          <w:rFonts w:ascii="Calibri" w:hAnsi="Calibri"/>
          <w:b w:val="0"/>
          <w:color w:val="3A4A28"/>
          <w:sz w:val="20"/>
        </w:rPr>
        <w:t>The main near-term risk is execution noise from the divestiture: Q3 2026 revenue of $600 million came in below the midpoint of guidance due to a shortened large-contract expansion, and PTC's forward PEG of 1.96 leaves room for disappointment if ARR growth decelerates further. Glassdoor culture data is strong (4.1/5, 86% recommend) but some reviews cite toxic management pockets, and PTC's Inspire Impact Score of -49 (MISALIGNED, driven by LGBT Activism attribution) may limit its fit for faith-aligned mandates despite otherwise broad positive ESG-style attributions. Competitive intensity from Siemens Teamcenter and Dassault Systèmes remains a structural overhang on PLM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net-new ARR guidance of $79-92 million (up sharply from Q3's $60 million) as deferred ARR from the shortened Q3 contract converts to revenue</w:t>
      </w:r>
    </w:p>
    <w:p>
      <w:pPr>
        <w:spacing w:before="40" w:after="40"/>
        <w:ind w:left="283"/>
      </w:pPr>
      <w:r>
        <w:rPr>
          <w:rFonts w:ascii="Calibri" w:hAnsi="Calibri"/>
          <w:b/>
          <w:color w:val="4A6B25"/>
          <w:sz w:val="20"/>
        </w:rPr>
        <w:t xml:space="preserve">2. </w:t>
      </w:r>
      <w:r>
        <w:rPr>
          <w:rFonts w:ascii="Calibri" w:hAnsi="Calibri"/>
          <w:b w:val="0"/>
          <w:color w:val="3A4A28"/>
          <w:sz w:val="20"/>
        </w:rPr>
        <w:t>AI monetization across ServiceMax and Codebeamer — cited as PTC's 'biggest AI win to date' — could accelerate ARR growth beyond the raised 9.25% FY2026 guidance</w:t>
      </w:r>
    </w:p>
    <w:p>
      <w:pPr>
        <w:spacing w:before="40" w:after="40"/>
        <w:ind w:left="283"/>
      </w:pPr>
      <w:r>
        <w:rPr>
          <w:rFonts w:ascii="Calibri" w:hAnsi="Calibri"/>
          <w:b/>
          <w:color w:val="4A6B25"/>
          <w:sz w:val="20"/>
        </w:rPr>
        <w:t xml:space="preserve">3. </w:t>
      </w:r>
      <w:r>
        <w:rPr>
          <w:rFonts w:ascii="Calibri" w:hAnsi="Calibri"/>
          <w:b w:val="0"/>
          <w:color w:val="3A4A28"/>
          <w:sz w:val="20"/>
        </w:rPr>
        <w:t>Post-divestiture focus on the unified Intelligent Product Data Foundation could improve cross-sell across Windchill, Creo, and Codebeamer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revenue of $600 million missed the midpoint of guidance due to a shortened large-contract expansion, showing continued deal-timing volatility</w:t>
      </w:r>
    </w:p>
    <w:p>
      <w:pPr>
        <w:spacing w:before="40" w:after="40"/>
        <w:ind w:left="283"/>
      </w:pPr>
      <w:r>
        <w:rPr>
          <w:rFonts w:ascii="Calibri" w:hAnsi="Calibri"/>
          <w:b/>
          <w:color w:val="4A6B25"/>
          <w:sz w:val="20"/>
        </w:rPr>
        <w:t xml:space="preserve">2. </w:t>
      </w:r>
      <w:r>
        <w:rPr>
          <w:rFonts w:ascii="Calibri" w:hAnsi="Calibri"/>
          <w:b w:val="0"/>
          <w:color w:val="3A4A28"/>
          <w:sz w:val="20"/>
        </w:rPr>
        <w:t>Forward PEG of 1.96 leaves limited room for multiple compression if ARR growth decelerates from the current ~9% pace</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Siemens Teamcenter and Dassault Systèmes in the core PLM market, with no evidence PTC is gaining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PTC's core Windchill/Creo/Codebeamer platforms are deeply embedded in enterprise manufacturing workflows with high switching costs and regulatory/compliance dependencies (e.g., requirements traceability), making the core PLM business structurally difficult for AI to displace [3]. If anything, AI increases demand for PTC's 'Intelligent Product Data Foundation' since generative-AI features require the clean, connected product data that PTC's platforms manage — an enabler dynamic rather than a threat. AI Opportunity (1/1): CEO Neil Barua cited the ServiceMax AI rollout as the company's 'biggest AI win to date,' a specific, quantifiable AI-driven customer win, with additional AI features shipping in Codebeamer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Inc. Q3 FY2026 Earnings Call and Raised Guidance — GuruFocus, StockTitan, Investing.com, BigGo Finance,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PTC Inc. (PTC) Financial Ratios and Statistics — Stock Analysis,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PTC CEO Neil Barua on AI Strategy and Intelligent Product Data Foundation — diginomica, completeaitraining.com, directindustry.com,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PTC Employee Reviews — Glassdoor,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PTC Impact Report and Sustainability Disclosures — ptc.com,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