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RAL</w:t>
      </w:r>
      <w:r>
        <w:rPr>
          <w:rFonts w:ascii="Calibri" w:hAnsi="Calibri"/>
          <w:b/>
          <w:color w:val="1A2010"/>
          <w:sz w:val="40"/>
        </w:rPr>
        <w:t xml:space="preserve">  Ralliant Corporation</w:t>
      </w:r>
    </w:p>
    <w:p>
      <w:pPr>
        <w:spacing w:after="120"/>
      </w:pPr>
      <w:r>
        <w:rPr>
          <w:rFonts w:ascii="Calibri" w:hAnsi="Calibri"/>
          <w:b/>
          <w:color w:val="6E8450"/>
          <w:sz w:val="18"/>
        </w:rPr>
        <w:t>GROWTH SLEEVE · 2026-07-21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NYSE · United States</w:t>
      </w:r>
    </w:p>
    <w:p>
      <w:pPr>
        <w:spacing w:after="80"/>
      </w:pPr>
      <w:r>
        <w:rPr>
          <w:rFonts w:ascii="Calibri" w:hAnsi="Calibri"/>
          <w:b w:val="0"/>
          <w:color w:val="3A4A28"/>
          <w:sz w:val="20"/>
        </w:rPr>
        <w:t>Ralliant Corporation is a global precision technologies company that designs, develops, manufactures, and services precision instruments and highly engineered products. The company operates through two segments: Test &amp; Measurement (Tektronix oscilloscopes, Keithley source measure units, EA Elektro-Automatik power supplies) and Sensors &amp; Safety Systems (Qualitrol grid monitoring, Gems Sensors, Pacific Scientific defense and space products). Spun off from Fortive Corporation in June 2025, headquartered in Raleigh, North Carolina, with over 150 years of operating heritage.</w:t>
      </w:r>
    </w:p>
    <w:p>
      <w:r>
        <w:rPr>
          <w:rFonts w:ascii="Calibri" w:hAnsi="Calibri"/>
          <w:b/>
          <w:color w:val="6E8450"/>
          <w:sz w:val="18"/>
        </w:rPr>
        <w:t>7,000 Employees · https://www.ralliant.com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Ralliant launched breakthrough new Tektronix measurement platforms in 2026 and strategically repositioned its portfolio toward high-growth end markets including data center infrastructure, physical AI applications, and critical defense programs [1][2]. Q1 2026 delivered 11% revenue growth with 9% organic growth, validating the growth strategy after flat revenue in prior years [1]. The separation from Fortive itself was a significant strategic pivot enabling sharper focus. AI Deployment (1/2): Ralliant has established an AI Governance Committee and is integrating AI into products, operations, and talent strategy, with Chief People Officer Karen Bick describing AI-enabled continuous listening programs [2]. However, no specific AI-driven revenue or quantified cost savings have been publicly reported. Market Share (2/2): Tektronix is a globally recognized category leader in test and measurement instrumentation with over 75 years of heritage, holding leadership positions across oscilloscopes, signal generators, and precision measurement tools used by engineers worldwide [3]. Product Pipeline (1/2): New Tektronix platforms targeting data center and AI infrastructure testing have been announced, and the Enterprise Productivity Program targets $50-60 million in annualized run-rate savings by 2028 [1][2]. Specific next-gen product launch dates with revenue visibility are limited. R&amp;D Intensity (1/1): As a precision technology company, R&amp;D is central to Ralliant's competitive position, with investment levels consistent with or above industry peers in the test and measurement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Ralliant's stated purpose is that its 'precision technologies create the confidence to break through every day,' connecting measurement and sensing capabilities to enabling scientific and engineering breakthroughs across critical industries [3]. The company elaborates that it creates 'the confidence that innovators, scientists, and engineers need to achieve breakthrough advancements across critical industries.' This is specific and thoughtful, connecting precision measurement to a larger purpose of enabling human innovation. However, the purpose has only been articulated since the June 2025 separation and has not been validated through decades of independent execution. Community Impact (0/2): As a newly independent company, Ralliant is developing its sustainability strategy and has not yet established specific charitable programs or community investment initiatives with measurable dollar amounts [4]. Employee Retention (0/2): Chief People Officer Karen Bick describes a deliberate approach to culture and talent leveraging continuous listening and AI, but no specific retention metrics, tenure data, or turnover rates are publicly available [2]. Insider Buying (0/2): No meaningful net insider buying by the CEO or multiple executives was identified in the last 12 months. Insider ownership is primarily from the Fortive distribution and executive compensation grants.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$535 million in revenue, up 11% year-over-year with 9% organic growth, and management raised full-year 2026 guidance to $2.185-2.245 billion in revenue with 19.5-20.5% adjusted EBITDA margins and $2.53-$2.69 adjusted EPS [1]. The balance sheet is conservatively leveraged with a debt-to-equity ratio of just 39%, well below the 70% target, scoring 1.0 on this metric [5]. ROE of 7.9% is below the 15% target but positive after the prior year's goodwill impairment, scoring 0.53 [4]. Profit margin of 8.3% was impacted by $14.7 million in new standalone interest expense and higher compensation costs, representing a 500 basis point decline from Q1 2025 when costs were borne by Fortive, scoring 0.42 [1]. Forward P/E of approximately 26x on adjusted EPS guidance is above the 20x target, scoring 0.85. Revenue growth 5-year CAGR and PEG ratio are unavailable as the company has been publicly traded for only one year and are excluded from the calculation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Ralliant demonstrates genuine infinite game characteristics through its articulated purpose connecting precision technology to enabling human breakthroughs, and its 150+ years of operating heritage through Tektronix and other legacy brands. The separation from Fortive was a strategic bet on focused execution over conglomerate scale, and the raised guidance and expanded $500M share repurchase program signal long-term confidence. However, the company has been independent for only one year, providing insufficient history to evaluate whether this purpose will endure through multiple market cycles and leadership transitions.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Ralliant's purpose — 'precision technologies create the confidence to break through every day' — is genuine and distinctive, connecting measurement accuracy to enabling scientific and engineering breakthroughs across critical industries [3]. This is more than marketing — Tektronix instruments have genuinely enabled decades of engineering advances in semiconductor design, communications, and defense technology. However, the purpose has been articulated for only one year as an independent company and has not been tested through crisis, leadership transition, or multi-decade consistency as a standalone entity.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Ralliant's culture is anchored in the Ralliant Business System, which emphasizes continuous improvement and simplicity [2]. Chief People Officer Karen Bick has implemented continuous listening programs and a deliberate approach to culture-building in the company's first year of independence. CEO Tami Newcombe has provided stable leadership through the separation. However, the company is adjusting 7,000 employees to a new organizational identity, and no specific data on employee trust, tenure, or voluntary turnover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Ralliant competes with Keysight Technologies, National Instruments, and other precision measurement companies. The company's competitive language focuses on enabling customer breakthroughs and delivering precision rather than defeating specific competitors [3]. The company frames its strategy around creating confidence for innovators, not capturing share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separation from Fortive represents meaningful strategic flexibility — choosing to become an independent, focused precision technology company rather than remaining part of a diversified conglomerate. This required establishing new corporate functions and taking on independent financing at $14.7 million per quarter in interest expense [1]. The strategic pivot toward data center infrastructure, physical AI, and defense end markets represents adaptive positioning. However, these are incremental rather than transformative pivots — the core precision technology business remains fundamentally the same.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Ralliant's leadership has demonstrated courage through the separation process and subsequent capital allocation decisions. The expanded $500 million share repurchase program including a $100 million accelerated repurchase, combined with raising full-year guidance after a strong Q1, signals confidence in the company's future [1]. The Enterprise Productivity Program targeting $50-60 million in savings by 2028 shows willingness to invest in operational transformation. However, these are standard corporate actions, and the leadership has not yet been tested through an economic downturn as a standalone entity.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Ralliant delivered a strong Q1 2026 with $535 million in revenue (up 11% YoY, 9% organic), prompting management to raise full-year guidance to $2.185-2.245 billion in revenue and $2.53-$2.69 in adjusted EPS [1]. The company is strategically positioned in high-growth end markets — data center infrastructure testing, physical AI applications, critical defense programs, and power grid resilience — where precision measurement and sensing are essential and demand is accelerating. The balance sheet is conservatively leveraged at 39% D/E, the Enterprise Productivity Program targets $50-60 million in annualized savings by 2028, and the expanded $500 million share repurchase program demonstrates capital allocation discipline [1]. With 150+ years of brand heritage through Tektronix and strong category leadership in test and measurement, Ralliant has deep customer trust and technical moats in mission-critical applications.</w:t>
      </w:r>
    </w:p>
    <w:p>
      <w:pPr>
        <w:spacing w:after="120"/>
      </w:pPr>
      <w:r>
        <w:rPr>
          <w:rFonts w:ascii="Calibri" w:hAnsi="Calibri"/>
          <w:b w:val="0"/>
          <w:color w:val="3A4A28"/>
          <w:sz w:val="20"/>
        </w:rPr>
        <w:t>The primary concern is valuation and profitability transition. At approximately 26x forward adjusted earnings, Ralliant trades at a premium for an industrial company with 8.3% net profit margins [1][5]. The first year of independence brought significant cost headwinds — $14.7 million in quarterly interest expense, higher standalone compensation costs, and incremental public company expenses — that compressed net margins by 500 basis points versus the prior year period [1]. ROE of 7.9% is well below the 15% target, reflecting the newly established capital structure [4]. The stock has rallied 47% from its $46.58 level in April 2026, pricing in much of the growth story already. Revenue growth 5-year CAGR is unavailable given the company's one-year track record as an independent entity, and investors must take on execution risk that management can simultaneously drive organic growth, realize productivity savings, and expand margins while building a new corporate culture from scratch.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and AI infrastructure investment cycle driving sustained demand for Tektronix test and measurement platforms as hyperscalers expand capacity through 2027-2028 [1][2]</w:t>
      </w:r>
    </w:p>
    <w:p>
      <w:pPr>
        <w:spacing w:before="40" w:after="40"/>
        <w:ind w:left="283"/>
      </w:pPr>
      <w:r>
        <w:rPr>
          <w:rFonts w:ascii="Calibri" w:hAnsi="Calibri"/>
          <w:b/>
          <w:color w:val="4A6B25"/>
          <w:sz w:val="20"/>
        </w:rPr>
        <w:t xml:space="preserve">2. </w:t>
      </w:r>
      <w:r>
        <w:rPr>
          <w:rFonts w:ascii="Calibri" w:hAnsi="Calibri"/>
          <w:b w:val="0"/>
          <w:color w:val="3A4A28"/>
          <w:sz w:val="20"/>
        </w:rPr>
        <w:t>Enterprise Productivity Program delivering $50-60 million in annualized run-rate savings by 2028, potentially driving adjusted EBITDA margins above the 20% target range [1]</w:t>
      </w:r>
    </w:p>
    <w:p>
      <w:pPr>
        <w:spacing w:before="40" w:after="40"/>
        <w:ind w:left="283"/>
      </w:pPr>
      <w:r>
        <w:rPr>
          <w:rFonts w:ascii="Calibri" w:hAnsi="Calibri"/>
          <w:b/>
          <w:color w:val="4A6B25"/>
          <w:sz w:val="20"/>
        </w:rPr>
        <w:t xml:space="preserve">3. </w:t>
      </w:r>
      <w:r>
        <w:rPr>
          <w:rFonts w:ascii="Calibri" w:hAnsi="Calibri"/>
          <w:b w:val="0"/>
          <w:color w:val="3A4A28"/>
          <w:sz w:val="20"/>
        </w:rPr>
        <w:t>Defense and power grid resilience spending increases providing diversified, counter-cyclical demand growth for the Sensors &amp; Safety Systems segment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At approximately 26x forward adjusted earnings with 8.3% net margins and a 47% stock price rally since April, valuation leaves minimal margin of safety — any deceleration from the 11% revenue growth rate could trigger meaningful multiple compression [1][5]</w:t>
      </w:r>
    </w:p>
    <w:p>
      <w:pPr>
        <w:spacing w:before="40" w:after="40"/>
        <w:ind w:left="283"/>
      </w:pPr>
      <w:r>
        <w:rPr>
          <w:rFonts w:ascii="Calibri" w:hAnsi="Calibri"/>
          <w:b/>
          <w:color w:val="4A6B25"/>
          <w:sz w:val="20"/>
        </w:rPr>
        <w:t xml:space="preserve">2. </w:t>
      </w:r>
      <w:r>
        <w:rPr>
          <w:rFonts w:ascii="Calibri" w:hAnsi="Calibri"/>
          <w:b w:val="0"/>
          <w:color w:val="3A4A28"/>
          <w:sz w:val="20"/>
        </w:rPr>
        <w:t>First-year standalone costs have compressed margins by 500bps, and the path to margin recovery depends on the Enterprise Productivity Program hitting ambitious $50-60M savings targets that have not yet been demonstrated [1]</w:t>
      </w:r>
    </w:p>
    <w:p>
      <w:pPr>
        <w:spacing w:before="40" w:after="40"/>
        <w:ind w:left="283"/>
      </w:pPr>
      <w:r>
        <w:rPr>
          <w:rFonts w:ascii="Calibri" w:hAnsi="Calibri"/>
          <w:b/>
          <w:color w:val="4A6B25"/>
          <w:sz w:val="20"/>
        </w:rPr>
        <w:t xml:space="preserve">3. </w:t>
      </w:r>
      <w:r>
        <w:rPr>
          <w:rFonts w:ascii="Calibri" w:hAnsi="Calibri"/>
          <w:b w:val="0"/>
          <w:color w:val="3A4A28"/>
          <w:sz w:val="20"/>
        </w:rPr>
        <w:t>Limited operating history as an independent company means investors cannot assess management's ability to navigate an economic downturn or cyclical decline in capital spending across key end markets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Ralliant's core business is structurally immune to AI disruption. The company manufactures physical precision instruments — oscilloscopes, signal generators, multimeters, and industrial safety sensors — that require physical hardware, calibration, and hands-on engineering [3]. AI cannot substitute for a physical measurement instrument or a safety sensor. More importantly, AI is a demand driver: data center buildout requires extensive testing and measurement infrastructure, power grid expansion for AI workloads needs Ralliant's Qualitrol grid resilience products, and AI-enabled defense systems require the company's precision sensing and safety technologies [1][2]. No analysts have identified AI substitution risk for Ralliant's product categories. AI Opportunity (0/1): While Ralliant integrates AI into its product development and operations and has established an AI Governance Committee, no specific AI-related revenue figures or percentages have been publicly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Ralliant Q1 FY2026 Earnings Release and Raised Full Year Guidance — ralliant.com Investor Relations, May 12, 2026</w:t>
      </w:r>
    </w:p>
    <w:p>
      <w:pPr>
        <w:spacing w:before="20" w:after="20"/>
        <w:ind w:left="170"/>
      </w:pPr>
      <w:r>
        <w:rPr>
          <w:rFonts w:ascii="Calibri" w:hAnsi="Calibri"/>
          <w:b/>
          <w:color w:val="4A6B25"/>
          <w:sz w:val="15"/>
        </w:rPr>
        <w:t xml:space="preserve">2. </w:t>
      </w:r>
      <w:r>
        <w:rPr>
          <w:rFonts w:ascii="Calibri" w:hAnsi="Calibri"/>
          <w:b w:val="0"/>
          <w:color w:val="3A4A28"/>
          <w:sz w:val="17"/>
        </w:rPr>
        <w:t>Ralliant Corporation CEO Leadership, AI Governance, and Strategy Announcements — ralliant.com and Investor Presentations, 2025-2026</w:t>
      </w:r>
    </w:p>
    <w:p>
      <w:pPr>
        <w:spacing w:before="20" w:after="20"/>
        <w:ind w:left="170"/>
      </w:pPr>
      <w:r>
        <w:rPr>
          <w:rFonts w:ascii="Calibri" w:hAnsi="Calibri"/>
          <w:b/>
          <w:color w:val="4A6B25"/>
          <w:sz w:val="15"/>
        </w:rPr>
        <w:t xml:space="preserve">3. </w:t>
      </w:r>
      <w:r>
        <w:rPr>
          <w:rFonts w:ascii="Calibri" w:hAnsi="Calibri"/>
          <w:b w:val="0"/>
          <w:color w:val="3A4A28"/>
          <w:sz w:val="17"/>
        </w:rPr>
        <w:t>Ralliant Separation Completion and Standalone Vision — Fortive Corporation, businesswire.com, June 2025</w:t>
      </w:r>
    </w:p>
    <w:p>
      <w:pPr>
        <w:spacing w:before="20" w:after="20"/>
        <w:ind w:left="170"/>
      </w:pPr>
      <w:r>
        <w:rPr>
          <w:rFonts w:ascii="Calibri" w:hAnsi="Calibri"/>
          <w:b/>
          <w:color w:val="4A6B25"/>
          <w:sz w:val="15"/>
        </w:rPr>
        <w:t xml:space="preserve">4. </w:t>
      </w:r>
      <w:r>
        <w:rPr>
          <w:rFonts w:ascii="Calibri" w:hAnsi="Calibri"/>
          <w:b w:val="0"/>
          <w:color w:val="3A4A28"/>
          <w:sz w:val="17"/>
        </w:rPr>
        <w:t>Simply Wall St — Ralliant ROE and Financial Analysis,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RAL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