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RF</w:t>
      </w:r>
      <w:r>
        <w:rPr>
          <w:rFonts w:ascii="Calibri" w:hAnsi="Calibri"/>
          <w:b/>
          <w:color w:val="1A2010"/>
          <w:sz w:val="40"/>
        </w:rPr>
        <w:t xml:space="preserve">  Regions Financial Corporation</w:t>
      </w:r>
    </w:p>
    <w:p>
      <w:pPr>
        <w:spacing w:after="120"/>
      </w:pPr>
      <w:r>
        <w:rPr>
          <w:rFonts w:ascii="Calibri" w:hAnsi="Calibri"/>
          <w:b/>
          <w:color w:val="6E8450"/>
          <w:sz w:val="18"/>
        </w:rPr>
        <w:t>DIVIDEND SLEEVE · 2026-08-16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Regions Financial Corporation is a Birmingham, Alabama-based bank holding company with roughly $161 billion in assets, operating Regions Bank across the South, Midwest, and Texas. The company offers retail and commercial banking, wealth management, and capital markets services, and reported Q2 2026 earnings of $549 million (EPS $0.64), with adjusted EPS beating consensus by nearly 8% on stable loan growth and improving credit quality [1]. CEO John Turner has led a multi-year digital and branch transformation ('North Star') intended to modernize the bank's technology core and customer experience.</w:t>
      </w:r>
    </w:p>
    <w:p>
      <w:r>
        <w:rPr>
          <w:rFonts w:ascii="Calibri" w:hAnsi="Calibri"/>
          <w:b/>
          <w:color w:val="6E8450"/>
          <w:sz w:val="18"/>
        </w:rPr>
        <w:t>19,700 Employees · https://www.regions.com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Regions has pursued an incremental digital transformation under CEO John Turner — shifting from a technology-led to business-led 'North Star' strategy, consolidating branch staff into a single job family, and investing in core banking system replacement — but this is an operational modernization, not a transformative pivot or new revenue stream [2]. AI Deployment (1/2): Management has described convergence of 'data, AI and process improvement' as a forward-looking aspiration for core replacement and operations, but no shipped AI product or quantified savings/revenue figure was identified [2]. Market Share (1/2): Regions is a meaningful $161B-asset regional player concentrated in the Southeast, but is not a share leader or share gainer in any specific category — it competes as one of many super-regional banks. Product Pipeline (0/2): No specific next-generation product with a named launch date or revenue visibility was found; the bank discusses hiring 170 bankers over three years, which is headcount, not product pipeline. R&amp;D Intensity (0/1): Regions does not disclose R&amp;D spend as a percentage of revenue, and no evidence of above-industry-average technology investment intensity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Regions' mission is 'to achieve superior economic value for our shareholders over time by making life better for our customers, associates, and communities' — the 'Making Life Better' framing is specific enough to have spawned a dedicated 'Making Life Better Institute' launched in 2023 that consolidates community engagement programs [3]. Community Impact (2/2): Since 2021, Regions Bank and the Regions Foundation have funded inclusive-prosperity initiatives and reported supporting over 1.4 million people through financial education programs, a distinctive and quantified community investment [3]. Employee Retention (0/2): No specific tenure or voluntary turnover data was found in available research. Insider Buying (0/2): The only insider transaction identified was a Form 4 open-market sale by an executive (7,014 shares in May 2026); no meaningful net insider buying was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payer. Regions clears every core threshold: D/E of ~27% is well under the 70% target, Forward P/E of 11.63x is well below the 20x target, and profit margin of ~29.8% ($2.14B profit on $7.18B TTM revenue) far exceeds the 20% target [1][5]. ROE of 11.89% falls short of the 15% target (score 0.79) and revenue growth (YoY ~2.5-3%, 5yr CAGR ~3%) is well below the 10% target given the low-growth nature of mature regional banking [5]. On dividend quality, payout ratio of 42% is near the 40% target, 14 consecutive years of dividend growth and an estimated 16 consecutive years paid (since the 2009 financial-crisis-era cut) both clear the 10-year target, and the 5-year dividend growth CAGR of ~13% far exceeds the 6% target. Average daily volume of ~5.25M shares at a $31.43 stock price (~$165M/day) clears the liquidity floor by a wide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Regions Financial presents a 'Making Life Better' purpose framed explicitly as a means to 'achieve superior economic value for shareholders,' and that framing was directly undercut by a $191 million CFPB settlement over unlawfully charged overdraft fees (2018-2021) that a Delaware chancellor described as evidence directors may have steered the bank into 'corporate trauma' — a material gap between stated cause and lived practice [4]. The bank shows adequate organizational stability and incremental technology evolution, but no evidence of costly principled leadership decisions or a distinctive competitive philosophy was found, placing it toward the finite end of the spectrum.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'Making Life Better' mission is genuine enough to have produced a dedicated Institute and community programs reaching 1.4 million people, but the same period saw Regions charge customers $141 million in unlawful overdraft fees (2018-2021), resulting in a $191M CFPB settlement and ongoing Delaware shareholder litigation alleging directors condoned the practice [4]. This is a direct contradiction between the stated 'making life better for customers' cause and documented harm to customers, undermining the cause's credibility as a genuine strategic driver rather than marketing.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Regions consolidated branch staff into a single cross-trained job family, which can be read as an investment in employee capability and flexibility, and the bank continues a multi-year hiring push (170 bankers over three years) suggesting organizational stability rather than contraction [2]. However, no specific tenure, turnover, or psychological-safety data was found to support a higher score — this is adequate-for-industry evidence,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competitors as sources of learning or improvement; available commentary (e.g., 'forgoing M&amp;A in pursuit of growth') is strategic positioning rather than an explicit worthy-rivals mindset, so no credit was given absent direct evidence.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Regions shifted its transformation strategy from technology-led to business-led with a 'North Star' customer-experience focus and is replacing core banking systems while integrating AI and data — a real but incremental adaptation of an already-established regional banking model, not a transformative reinvention or abandonment of a core business line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or taking a principled stance at real cost. To the contrary, board members fought (and lost) a bid to dismiss shareholder litigation alleging they oversaw the overdraft practices that led to the $191M CFPB penalty, suggesting a pattern of protecting near-term fee revenue rather than proactively correcting a customer-harming practice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Regions Financial is a financially sound, cheaply valued super-regional bank — 11.63x forward earnings, 27% D/E, ~30% profit margin, and a 42% payout ratio funding a dividend yield of 3.88% with 14 consecutive years of increases — that mechanically scores among the strongest Infrastructure profiles in the coverage universe [1][5]. Q2 2026 results beat consensus (adjusted EPS +13% YoY) on improving credit quality and stable loan growth, and the bank's digital/core-system modernization under CEO John Turner is a credible if unspectacular efficiency initiative [1][2].</w:t>
      </w:r>
    </w:p>
    <w:p>
      <w:pPr>
        <w:spacing w:after="120"/>
      </w:pPr>
      <w:r>
        <w:rPr>
          <w:rFonts w:ascii="Calibri" w:hAnsi="Calibri"/>
          <w:b w:val="0"/>
          <w:color w:val="3A4A28"/>
          <w:sz w:val="20"/>
        </w:rPr>
        <w:t>The bear case is that Regions is a low-growth, low-differentiation regional bank (ROE under the 15% target, revenue growth in the low single digits, no innovation pipeline) whose stated 'Making Life Better' purpose was directly contradicted by a $191 million CFPB settlement for unlawfully charging overdraft fees between 2018 and 2021 — conduct serious enough that a Delaware chancellor allowed shareholder litigation against the board to proceed, alleging directors condoned a practice that produced 'corporate trauma' [4]. Combined with a WEAK Innovation score (no shipped AI products, no market-share leadership, no disclosed R&amp;D intensity) and a FINITE Infinite Game read (no evidence of costly principled leadership choices), RF screens as a cheap, well-capitalized bank rather than an IOWN-quality compounder — appropriate as a WATCH pending evidence the overdraft litigation is resolved and growth reaccelerates.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credit quality improvement and loan growth acceleration cited in Q2 2026 results could sustain the earnings beat trend and support further dividend increases beyond the current 14-year streak [1]</w:t>
      </w:r>
    </w:p>
    <w:p>
      <w:pPr>
        <w:spacing w:before="40" w:after="40"/>
        <w:ind w:left="283"/>
      </w:pPr>
      <w:r>
        <w:rPr>
          <w:rFonts w:ascii="Calibri" w:hAnsi="Calibri"/>
          <w:b/>
          <w:color w:val="4A6B25"/>
          <w:sz w:val="20"/>
        </w:rPr>
        <w:t xml:space="preserve">2. </w:t>
      </w:r>
      <w:r>
        <w:rPr>
          <w:rFonts w:ascii="Calibri" w:hAnsi="Calibri"/>
          <w:b w:val="0"/>
          <w:color w:val="3A4A28"/>
          <w:sz w:val="20"/>
        </w:rPr>
        <w:t>Core banking system replacement and AI/data convergence initiative, if it produces quantified cost savings or new digital revenue, would meaningfully improve the currently WEAK Innovation score [2]</w:t>
      </w:r>
    </w:p>
    <w:p>
      <w:pPr>
        <w:spacing w:before="40" w:after="40"/>
        <w:ind w:left="283"/>
      </w:pPr>
      <w:r>
        <w:rPr>
          <w:rFonts w:ascii="Calibri" w:hAnsi="Calibri"/>
          <w:b/>
          <w:color w:val="4A6B25"/>
          <w:sz w:val="20"/>
        </w:rPr>
        <w:t xml:space="preserve">3. </w:t>
      </w:r>
      <w:r>
        <w:rPr>
          <w:rFonts w:ascii="Calibri" w:hAnsi="Calibri"/>
          <w:b w:val="0"/>
          <w:color w:val="3A4A28"/>
          <w:sz w:val="20"/>
        </w:rPr>
        <w:t>Resolution of the Delaware shareholder litigation over the $191M CFPB overdraft settlement in the bank's favor would remove a governance overhang weighing on the Infinite Game and Just Cause assessment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Delaware Chancery Court litigation against 22 current and former directors over the $191M CFPB overdraft-fee consent order creates governance and reputational overhang and directly undermines the credibility of the bank's 'Making Life Better' stated purpose [4]</w:t>
      </w:r>
    </w:p>
    <w:p>
      <w:pPr>
        <w:spacing w:before="40" w:after="40"/>
        <w:ind w:left="283"/>
      </w:pPr>
      <w:r>
        <w:rPr>
          <w:rFonts w:ascii="Calibri" w:hAnsi="Calibri"/>
          <w:b/>
          <w:color w:val="4A6B25"/>
          <w:sz w:val="20"/>
        </w:rPr>
        <w:t xml:space="preserve">2. </w:t>
      </w:r>
      <w:r>
        <w:rPr>
          <w:rFonts w:ascii="Calibri" w:hAnsi="Calibri"/>
          <w:b w:val="0"/>
          <w:color w:val="3A4A28"/>
          <w:sz w:val="20"/>
        </w:rPr>
        <w:t>ROE of 11.89% (below the 15% target) and revenue growth in the low single digits reflect a mature, low-growth regional banking franchise with limited organic differentiation versus peer super-regionals</w:t>
      </w:r>
    </w:p>
    <w:p>
      <w:pPr>
        <w:spacing w:before="40" w:after="40"/>
        <w:ind w:left="283"/>
      </w:pPr>
      <w:r>
        <w:rPr>
          <w:rFonts w:ascii="Calibri" w:hAnsi="Calibri"/>
          <w:b/>
          <w:color w:val="4A6B25"/>
          <w:sz w:val="20"/>
        </w:rPr>
        <w:t xml:space="preserve">3. </w:t>
      </w:r>
      <w:r>
        <w:rPr>
          <w:rFonts w:ascii="Calibri" w:hAnsi="Calibri"/>
          <w:b w:val="0"/>
          <w:color w:val="3A4A28"/>
          <w:sz w:val="20"/>
        </w:rPr>
        <w:t>No disclosed R&amp;D intensity, shipped AI products, or quantified AI-driven efficiency gains leave Regions exposed to being a fast-follower rather than a leader as larger banks and fintechs deploy AI more aggressively in underwriting and customer service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Core deposit-taking, commercial lending, and wealth management businesses are protected by regulatory licensing, deposit-insurance switching costs, and physical branch relationships that AI cannot directly displace, but back-office processing, call-center service, and basic underwriting are meaningfully exposed to AI-driven automation over the medium term [2]. Regions' own strategy frames AI as a cost/efficiency lever for core-system replacement rather than a competitive threat, consistent with the sector-wide view that AI compresses bank cost structures without eliminating the regulated banking franchise. AI Opportunity (0/1): No quantified AI-related revenue or product was disclosed; management commentary on AI remains aspirational (future core-system convergence) rather than revenue-generating today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Regions Financial Q2 2026 Earnings Release — $549M net income, EPS $0.64, adjusted EPS +13% YoY — ir.regions.com, July 2026</w:t>
      </w:r>
    </w:p>
    <w:p>
      <w:pPr>
        <w:spacing w:before="20" w:after="20"/>
        <w:ind w:left="170"/>
      </w:pPr>
      <w:r>
        <w:rPr>
          <w:rFonts w:ascii="Calibri" w:hAnsi="Calibri"/>
          <w:b/>
          <w:color w:val="4A6B25"/>
          <w:sz w:val="15"/>
        </w:rPr>
        <w:t xml:space="preserve">2. </w:t>
      </w:r>
      <w:r>
        <w:rPr>
          <w:rFonts w:ascii="Calibri" w:hAnsi="Calibri"/>
          <w:b w:val="0"/>
          <w:color w:val="3A4A28"/>
          <w:sz w:val="17"/>
        </w:rPr>
        <w:t>The Financial Brand, American Banker — Regions Bank Digital Transformation Strategy, CEO John Turner 'North Star' initiative, core system replacement, AI/data convergence, 2026</w:t>
      </w:r>
    </w:p>
    <w:p>
      <w:pPr>
        <w:spacing w:before="20" w:after="20"/>
        <w:ind w:left="170"/>
      </w:pPr>
      <w:r>
        <w:rPr>
          <w:rFonts w:ascii="Calibri" w:hAnsi="Calibri"/>
          <w:b/>
          <w:color w:val="4A6B25"/>
          <w:sz w:val="15"/>
        </w:rPr>
        <w:t xml:space="preserve">3. </w:t>
      </w:r>
      <w:r>
        <w:rPr>
          <w:rFonts w:ascii="Calibri" w:hAnsi="Calibri"/>
          <w:b w:val="0"/>
          <w:color w:val="3A4A28"/>
          <w:sz w:val="17"/>
        </w:rPr>
        <w:t>Regions Financial — 'Making Life Better' mission statement, Making Life Better Institute launch (2023), Regions Foundation community engagement (1.4M+ people reached via financial education), ir.regions.com / regions.com,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ABA Banking Journal, Bloomberg Law — Delaware Chancery Court declines to dismiss $191M CFPB overdraft-fee shareholder derivative lawsuit against Regions board; StockTitan Form 4 insider sale filing,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MacroTrends — RF Key Statistics: Stock price $31.43, Forward P/E 11.63x, D/E 27%, ROE 11.89%, dividend yield 3.88%, payout ratio 42%, 14-year dividend growth streak, average daily volume ~5.25M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