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RH</w:t>
      </w:r>
      <w:r>
        <w:rPr>
          <w:rFonts w:ascii="Calibri" w:hAnsi="Calibri"/>
          <w:b/>
          <w:color w:val="1A2010"/>
          <w:sz w:val="40"/>
        </w:rPr>
        <w:t xml:space="preserve">  RH (Restoration Hardware Holdings)</w:t>
      </w:r>
    </w:p>
    <w:p>
      <w:pPr>
        <w:spacing w:after="120"/>
      </w:pPr>
      <w:r>
        <w:rPr>
          <w:rFonts w:ascii="Calibri" w:hAnsi="Calibri"/>
          <w:b/>
          <w:color w:val="6E8450"/>
          <w:sz w:val="18"/>
        </w:rPr>
        <w:t>GROWTH SLEEVE · 2026-08-08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Home Furnishings · NYSE · United States</w:t>
      </w:r>
    </w:p>
    <w:p>
      <w:pPr>
        <w:spacing w:after="80"/>
      </w:pPr>
      <w:r>
        <w:rPr>
          <w:rFonts w:ascii="Calibri" w:hAnsi="Calibri"/>
          <w:b w:val="0"/>
          <w:color w:val="3A4A28"/>
          <w:sz w:val="20"/>
        </w:rPr>
        <w:t>RH operates as a luxury home furnishings company, offering products across furniture, lighting, textiles, bathware, and decor through immersive design galleries, source books, and digital channels. Under CEO Gary Friedman, the company has expanded into hospitality (RH Guesthouse), dining (RH Restaurant), and experiential retail with large-format galleries in major markets. Market cap approximately $2.4B.</w:t>
      </w:r>
    </w:p>
    <w:p>
      <w:r>
        <w:rPr>
          <w:rFonts w:ascii="Calibri" w:hAnsi="Calibri"/>
          <w:b/>
          <w:color w:val="6E8450"/>
          <w:sz w:val="18"/>
        </w:rPr>
        <w:t>7,000 Employees · https://rh.com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RH executed a significant business model transformation over the past five years, converting from traditional small-format retail stores to massive, immersive design galleries — multi-story showrooms that function as experiential destinations integrating restaurants, wine vaults, and rooftop gardens [1][2]. The expansion into hospitality (RH Guesthouse in New York) and the 'ecosystem' strategy spanning products, places, services, and spaces represents genuine category innovation in luxury retail. AI Deployment (0/2): No evidence of AI-powered products or quantifiable AI-driven operational savings. RH remains a physical luxury goods and experiential retail business with no disclosed AI initiatives [2]. Market Share (1/2): RH occupies a distinctive niche in luxury home furnishings but is not a category leader by revenue — the luxury home market is fragmented, and RH's TTM revenue of $3.42B represents a small share of the $200B+ US furniture market [1]. Product Pipeline (1/2): Friedman has articulated an expansion vision including international galleries in Europe, additional guesthouses, and an RH yacht concept, but timelines remain vague and execution has been slower than projected [2]. R&amp;D Intensity (0/1): Not a traditional R&amp;D-intensive business; spending is directed toward design and product development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RH's vision — 'to create an endless reflection of hope, inspiration, passion, and love that will ignite the human spirit and change the world' — is distinctively aspirational for a home furnishings company and reflects genuine intentionality under Friedman's leadership [2][3]. The gallery concept and ecosystem strategy are tangible expressions of this vision, connecting luxury design to experiential transformation. It differentiates sharply from peers but has not been validated through multi-decade consistency or crisis-tested execution. Community Impact (0/2): No evidence of significant charitable programs, corporate foundation, or distinctive community investment beyond standard corporate activities [4]. Employee Retention (0/2): No publicly available data on employee tenure, voluntary turnover, or mission-driven retention. The company is heavily associated with Friedman's singular vision. Insider Buying (0/2): Net insider selling in 2026 — CEO Gary Friedman sold 125,000 shares in July 2026 ($6.6M+ in total insider sales over 90 days) with no reported insider purchases, undermining conviction signals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RH's balance sheet is severely distorted by aggressive share buybacks that have driven stockholders' equity negative, rendering D/E and ROE metrics unreliable — the company carries $4.02B in total debt against just $53.8M in cash [1][3]. TTM profit margin of 3.01% reflects the Q3 FY2026 earnings miss ($1.71 EPS vs. $2.23 estimate, revenue of $883.8M vs. $910.2M estimate) and the most recent quarterly net loss of -$13.7M [1]. Revenue growth has recovered to 8% YoY (FY2025 $3.43B vs. FY2024 $3.18B) after a multi-year contraction from the FY2021 peak of $3.76B, yielding a modest 5-year CAGR of ~3.8% [1]. Forward P/E of 25.41 and PEG of 2.49 indicate the market prices in recovery execution that has yet to materialize in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RH under Gary Friedman demonstrates a bold, long-term vision but one deeply concentrated in a single leader rather than institutionalized across the organization. The gallery transformation and ecosystem expansion show genuine strategic ambition beyond quarterly optimization, but the company's financial fragility — massive debt, thin margins, and cyclical exposure to luxury housing — creates tension between the infinite vision and finite survival pressures. Friedman's insider selling undermines the narrative of infinite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RH has an aspirational vision — transforming from a furniture retailer into a luxury lifestyle ecosystem that 'ignites the human spirit' — but it reads more as personal aesthetic ambition from Gary Friedman than a resilient, inclusive, service-oriented cause that invites sacrifice [2][3]. The vision serves wealthy consumers seeking curated luxury, not a broader future state. It's distinctive marketing language, but Sinek would question whether it endures beyond Friedman's tenure or whether employees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RH's organizational culture is heavily centered on Gary Friedman's singular creative vision — he holds the title of Chairman, CEO, Creator, and Curator [2]. His distinctive leadership style (10-hour 'adventures' with executives, aversion to formal meetings) creates an unconventional environment. No evidence of explicit cultural dysfunction, but the extreme concentration of creative authority in one person raises questions about whether the broader organization feels empowered to challenge or contribute beyond executing Friedman's vision.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Friedman's competitive language consistently focuses on differentiation and self-improvement rather than defeating specific competitors. His stated philosophy — 'You can't be a leader if you follow the crowd' — frames competition as motivation to create something distinctive rather than a war to win market share [2]. RH positions itself as creating a category of one rather than fighting for share in existing categories.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RH has meaningfully evolved its business model — from a traditional home furnishings retailer to a luxury ecosystem spanning galleries, hospitality, dining, and experiential retail [2]. The gallery transformation was a genuine strategic shift that redefined the company. However, this has been incremental evolution of an existing luxury positioning rather than a transformative pivot that abandoned a core business. The company has not yet demonstrated willingness to abandon what's working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Friedman has made genuinely bold bets — transforming the entire retail footprint from small stores to capital-intensive design galleries (costing tens of millions per location), entering hospitality with RH Guesthouse, and persisting with the luxury ecosystem vision through the 2022-2023 housing downturn when revenue contracted 20% from peak [1][2]. These decisions required real near-term sacrifice. However, the heavy use of debt ($4B) to fund this vision raises questions about whether it reflects courage or financial aggression.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RH's long-term vision under Gary Friedman — transforming from a traditional home furnishings retailer into a luxury lifestyle ecosystem spanning galleries, hospitality, and experiential retail — is genuinely ambitious and differentiated. FY2025 revenue of $3.43B showed recovery with 8% YoY growth after a painful two-year contraction from the $3.76B FY2021 peak, and Q1 FY2026 accelerated to 12% YoY growth [1]. The gallery model creates barriers to entry through capital-intensive, immersive experiences that pure-play e-commerce competitors cannot replicate. Gross margins of 43.5% confirm pricing power in the luxury segment.</w:t>
      </w:r>
    </w:p>
    <w:p>
      <w:pPr>
        <w:spacing w:after="120"/>
      </w:pPr>
      <w:r>
        <w:rPr>
          <w:rFonts w:ascii="Calibri" w:hAnsi="Calibri"/>
          <w:b w:val="0"/>
          <w:color w:val="3A4A28"/>
          <w:sz w:val="20"/>
        </w:rPr>
        <w:t>The bear case centers on extreme financial fragility. RH carries $4.02B in debt against just $53.8M in cash, with negative stockholders' equity from aggressive buybacks — leaving essentially no margin of safety in a downturn [3]. TTM net profit margin of just 3.01% means the company operates near breakeven, confirmed by the most recent quarterly net loss of -$13.7M [1]. The business is highly cyclical, tied to luxury housing activity, and Q3 FY2026 earnings missed estimates significantly ($1.71 vs. $2.23 EPS). CEO insider selling of $6.6M+ in July 2026, combined with 43% share price decline over the past year from $265 to $134, undermines the bull narrative. The company's future is essentially a leveraged bet on one executive's vision with no succession plan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driving demand acceleration across gallery network, with Q1 FY2026 showing 12% YoY growth as the cycle potentially turns</w:t>
      </w:r>
    </w:p>
    <w:p>
      <w:pPr>
        <w:spacing w:before="40" w:after="40"/>
        <w:ind w:left="283"/>
      </w:pPr>
      <w:r>
        <w:rPr>
          <w:rFonts w:ascii="Calibri" w:hAnsi="Calibri"/>
          <w:b/>
          <w:color w:val="4A6B25"/>
          <w:sz w:val="20"/>
        </w:rPr>
        <w:t xml:space="preserve">2. </w:t>
      </w:r>
      <w:r>
        <w:rPr>
          <w:rFonts w:ascii="Calibri" w:hAnsi="Calibri"/>
          <w:b w:val="0"/>
          <w:color w:val="3A4A28"/>
          <w:sz w:val="20"/>
        </w:rPr>
        <w:t>International gallery expansion into Europe opening new addressable markets for the luxury ecosystem concept</w:t>
      </w:r>
    </w:p>
    <w:p>
      <w:pPr>
        <w:spacing w:before="40" w:after="40"/>
        <w:ind w:left="283"/>
      </w:pPr>
      <w:r>
        <w:rPr>
          <w:rFonts w:ascii="Calibri" w:hAnsi="Calibri"/>
          <w:b/>
          <w:color w:val="4A6B25"/>
          <w:sz w:val="20"/>
        </w:rPr>
        <w:t xml:space="preserve">3. </w:t>
      </w:r>
      <w:r>
        <w:rPr>
          <w:rFonts w:ascii="Calibri" w:hAnsi="Calibri"/>
          <w:b w:val="0"/>
          <w:color w:val="3A4A28"/>
          <w:sz w:val="20"/>
        </w:rPr>
        <w:t>Margin recovery from the 3% TTM trough as revenue scales against the fixed-cost gallery infrastructure, with operating leverage potential back toward the 15-20% operating margin achieved in FY2021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($4.02B debt, negative equity) with near-breakeven profitability creates existential risk if housing demand deteriorates further or interest rates remain elevated</w:t>
      </w:r>
    </w:p>
    <w:p>
      <w:pPr>
        <w:spacing w:before="40" w:after="40"/>
        <w:ind w:left="283"/>
      </w:pPr>
      <w:r>
        <w:rPr>
          <w:rFonts w:ascii="Calibri" w:hAnsi="Calibri"/>
          <w:b/>
          <w:color w:val="4A6B25"/>
          <w:sz w:val="20"/>
        </w:rPr>
        <w:t xml:space="preserve">2. </w:t>
      </w:r>
      <w:r>
        <w:rPr>
          <w:rFonts w:ascii="Calibri" w:hAnsi="Calibri"/>
          <w:b w:val="0"/>
          <w:color w:val="3A4A28"/>
          <w:sz w:val="20"/>
        </w:rPr>
        <w:t>Key-person concentration risk — Gary Friedman is chairman, CEO, creator, and curator with no evident succession plan; his July 2026 insider selling of 125,000 shares undermines conviction</w:t>
      </w:r>
    </w:p>
    <w:p>
      <w:pPr>
        <w:spacing w:before="40" w:after="40"/>
        <w:ind w:left="283"/>
      </w:pPr>
      <w:r>
        <w:rPr>
          <w:rFonts w:ascii="Calibri" w:hAnsi="Calibri"/>
          <w:b/>
          <w:color w:val="4A6B25"/>
          <w:sz w:val="20"/>
        </w:rPr>
        <w:t xml:space="preserve">3. </w:t>
      </w:r>
      <w:r>
        <w:rPr>
          <w:rFonts w:ascii="Calibri" w:hAnsi="Calibri"/>
          <w:b w:val="0"/>
          <w:color w:val="3A4A28"/>
          <w:sz w:val="20"/>
        </w:rPr>
        <w:t>Luxury housing cycle sensitivity exposes the business to macroeconomic volatility, with revenue already contracting 20% from FY2021 peak to FY2023 trough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RH's core business is deeply rooted in the physical world — manufacturing and curating luxury furniture, textiles, and lighting; operating immersive multi-story design galleries; and running hospitality venues including restaurants and guesthouses [2]. AI cannot replicate the tactile, experiential nature of luxury home furnishings shopping or the craftsmanship of high-end furniture production. Interior design advisory services face some exposure to AI-powered design tools (e.g., AI room planners, virtual staging), but RH's value proposition centers on curated taste and physical experience rather than commoditized design services. Analysts have not flagged AI as a meaningful risk to RH's business model. AI Opportunity (0/1): No evidence of AI-generated revenue. RH has not disclosed AI-powered products, services, or meaningful AI-driven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RH Q3 FY2026 Earnings Results — QuiverQuant, December 2025; Revenue and Financial Data — CompaniesMarketCap, StockAnalysis,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Gary Friedman Leadership, Innovation, and Luxury Vision — Forbes, Fortune, WebProNews, 2020-2026</w:t>
      </w:r>
    </w:p>
    <w:p>
      <w:pPr>
        <w:spacing w:before="20" w:after="20"/>
        <w:ind w:left="170"/>
      </w:pPr>
      <w:r>
        <w:rPr>
          <w:rFonts w:ascii="Calibri" w:hAnsi="Calibri"/>
          <w:b/>
          <w:color w:val="4A6B25"/>
          <w:sz w:val="15"/>
        </w:rPr>
        <w:t xml:space="preserve">3. </w:t>
      </w:r>
      <w:r>
        <w:rPr>
          <w:rFonts w:ascii="Calibri" w:hAnsi="Calibri"/>
          <w:b w:val="0"/>
          <w:color w:val="3A4A28"/>
          <w:sz w:val="17"/>
        </w:rPr>
        <w:t>RH Financial Statistics — StockAnalysis.com, Yahoo Finance, GuruFocus,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RH SEC Filings — 10-K FY2026, DEF 14A, Insider Transactions,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