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RIG</w:t>
      </w:r>
      <w:r>
        <w:rPr>
          <w:rFonts w:ascii="Calibri" w:hAnsi="Calibri"/>
          <w:b/>
          <w:color w:val="1A2010"/>
          <w:sz w:val="40"/>
        </w:rPr>
        <w:t xml:space="preserve">  Transocean Ltd.</w:t>
      </w:r>
    </w:p>
    <w:p>
      <w:pPr>
        <w:spacing w:after="120"/>
      </w:pPr>
      <w:r>
        <w:rPr>
          <w:rFonts w:ascii="Calibri" w:hAnsi="Calibri"/>
          <w:b/>
          <w:color w:val="6E8450"/>
          <w:sz w:val="18"/>
        </w:rPr>
        <w:t>GROWTH SLEEVE · 2026-08-11 · Inspire: 41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Switzerland</w:t>
      </w:r>
    </w:p>
    <w:p>
      <w:pPr>
        <w:spacing w:after="80"/>
      </w:pPr>
      <w:r>
        <w:rPr>
          <w:rFonts w:ascii="Calibri" w:hAnsi="Calibri"/>
          <w:b w:val="0"/>
          <w:color w:val="3A4A28"/>
          <w:sz w:val="20"/>
        </w:rPr>
        <w:t>Transocean is the world's largest offshore drilling contractor by fleet value, specializing in ultra-deepwater and harsh-environment semisubmersible drilling rigs. Domiciled in Steinhausen, Switzerland, with operational headquarters in Houston, Texas, the company operates a fleet of approximately 36 rigs serving major oil companies globally. Under CEO Keelan Adamson, Transocean reported Q2 2026 revenue of $966M with 97.3% revenue efficiency and $170M net income — a return to profitability after years of losses. The company guides FY2026 revenue of $3.9-3.975B and maintains a contract backlog of approximately $6.7B, excluding $1B in pending Equinor approvals. Transocean was the owner of the Deepwater Horizon rig at the time of the 2010 Gulf of Mexico oil spill.</w:t>
      </w:r>
    </w:p>
    <w:p>
      <w:r>
        <w:rPr>
          <w:rFonts w:ascii="Calibri" w:hAnsi="Calibri"/>
          <w:b/>
          <w:color w:val="6E8450"/>
          <w:sz w:val="18"/>
        </w:rPr>
        <w:t>6,400 Employees · https://www.deepwater.com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Transocean has upgraded and reactivated rigs to serve growing ultra-deepwater demand, achieving 97.3% revenue efficiency and 98% uptime in Q2 2026 — impressive operational execution [1]. However, the company has not launched new products or executed transformative pivots in the last 5 years; it operates the same business model (contract drilling) with incremental fleet optimization. AI Deployment (1/2): CEO Keelan Adamson has prioritized AI and data-driven insights to improve safety, compliance, and sustainability across the fleet, with automation and predictive analytics enhancing reliability and decision-making [2]. However, no specific AI products, dollar amounts of cost savings, or quantified efficiency gains from AI deployment were publicly cited. Market Share (2/2): Transocean is the global leader in ultra-deepwater and harsh-environment offshore drilling, operating the largest and most technologically advanced fleet in the industry [1]. The $1B+ Equinor contract for three harsh-environment rigs on the Norwegian shelf confirms dominant market positioning in the highest-value drilling segments. Product Pipeline (0/2): Offshore drilling contractors do not have traditional product pipelines — revenue is driven by contract awards rather than product launches. No new rig classes or technology platforms with specific launch dates and revenue visibility were announced [1]. R&amp;D Intensity (0/1): Offshore drilling is a capital-intensive rather than R&amp;D-intensive business. Transocean invests in fleet maintenance and upgrades but does not report R&amp;D spending at levels that would qualify relative to energy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Transocean's corporate values are expressed through the FIRST acronym — Focused Delivery, Integrity, Reliability, Safety, Technical Leadership — which are solid operational principles but function as corporate values rather than a mission statement [2]. The company does not articulate a broader purpose connecting offshore drilling to a larger societal benefit. 'We drill for oil safely and efficiently' is the implicit mission, which is generic within the industry. Community Impact (0/2): No specific evidence of charitable programs, foundation activities, or community investment was identified. The Deepwater Horizon legacy (2010) created a lasting negative association with environmental harm, though Transocean was the rig operator, not the well owner (BP). Employee Retention (0/2): No specific retention, tenure, or cultural data is publicly available. The offshore drilling workforce operates in inherently challenging conditions with rotational schedules. Insider Buying (0/2): CEO stock sales were reported with no evidence of meaningful net insider buying by executives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Transocean's D/E of 64.38% is within the 70% target, representing a manageable leverage profile given the capital-intensive nature of offshore drilling and the company's $6.7B contract backlog providing revenue visibility [3]. Revenue growth of approximately 13% YoY (TTM revenue $4.14B) and a 5-year revenue CAGR of approximately 10% both meet or exceed targets, reflecting the recovery in offshore drilling demand [1]. Forward P/E of 32.07 scores moderately, indicating the market recognizes improving profitability but applies a premium for the cyclical nature of the business. The primary drags are deeply negative ROE (-30.05%) and TTM net margin (-66.79%), though Q2 2026 showed a dramatic improvement with $170M net income on $966M revenue (17.6% Q2 margin) [1]. The negative TTM figures reflect legacy losses from prior quarters including potential impairments and high interest expense on approximately $5.5B in debt. PEG ratio is unavailable. The stock clears the liquidity floor at approximately $5.05 per share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Transocean is a finite game player in Sinek's framework — the company exists to drill for oil efficiently and profitably, optimizing quarterly utilization rates, day rates, and revenue efficiency metrics. While the FIRST values (safety, integrity, reliability) are genuine operational commitments, they do not constitute a Just Cause that would inspire sacrifice beyond financial returns. The company has operated in offshore drilling since the 1960s without significant strategic pivots, and leadership language centers on backlog growth, contract wins, and financial metrics rather than a vision of a better future. CEO Keelan Adamson is operationally focused, and the company's competitive dynamics are typical of commodity cyclical industries.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Transocean's FIRST values — Focused Delivery, Integrity, Reliability, Safety, Technical Leadership — are genuine operational principles but do not constitute a Just Cause in Sinek's framework [2]. The company does not articulate a vision of a better future or a purpose that transcends contract drilling. Safety is critically important (and deeply earned given the Deepwater Horizon legacy), but it is a professional obligation rather than an inspiring cause that would attract people who want to change the world.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Transocean's 97.3% revenue efficiency and 98% uptime in Q2 2026 require exceptional coordination among approximately 6,400 employees operating in the most dangerous work environments in the energy industry [1]. Safety culture is non-negotiable in offshore drilling, and the company's operational track record suggests functional trust at the rig level. However, the offshore drilling workforce model (rotational schedules, contractor labor, remote operations) creates structural barriers to the deep organizational trust Sinek describes. No specific employee retention or cultural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Offshore drilling is a cyclical commodity market where competition centers on day rates, fleet specifications, and contract wins — fundamentally finite game dynamics [1]. Transocean competes with Valaris, Noble, and Seadrill for contracts, and competitive language focuses on fleet quality and market share rather than learning from rivals' strengths. No evidence of management acknowledging competitors' advantages as inspiration for self-improvement was found.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Transocean has operated as an offshore drilling contractor since the 1960s and has not meaningfully pivoted its business model in over 60 years [2]. While the company has upgraded its fleet over time (transitioning to ultra-deepwater focus, retiring older rigs), the core business — owning rigs and contracting them to oil companies — has remained unchanged. No evidence of strategic flexibility, adjacent market entry, or willingness to transform the business model was found.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Transocean maintained its fleet through the brutal 2015-2021 offshore drilling downturn, investing in rig upgrades and reactivations when competitors were scrapping assets — a long-term bet that is now paying off with $6.7B in backlog and improving profitability [1]. The company took on significant debt to sustain operations through the downturn, demonstrating conviction in the eventual recovery of deepwater drilling. However, this was partially a survival necessity rather than a principled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Transocean offers exposure to a tightening ultra-deepwater drilling market at a cyclical inflection — Q2 2026 revenue of $966M with $170M net income marks a return to profitability, contract backlog of $6.7B provides nearly 7 quarters of revenue visibility, and the $1B+ Equinor harsh-environment contract signals sustained demand for the company's premium rig fleet [1]. Active drillship coverage of 94% for the remainder of 2026 and 81% for 2027, combined with $212M in Q2 free cash flow, positions the company to begin deleveraging its ~$5.5B debt load. The stock at $5.05 trades at a significant discount to book value, and any sustained profitability could trigger a meaningful re-rating as the market recognizes the structural improvement in offshore drilling fundamentals.</w:t>
      </w:r>
    </w:p>
    <w:p>
      <w:pPr>
        <w:spacing w:after="120"/>
      </w:pPr>
      <w:r>
        <w:rPr>
          <w:rFonts w:ascii="Calibri" w:hAnsi="Calibri"/>
          <w:b w:val="0"/>
          <w:color w:val="3A4A28"/>
          <w:sz w:val="20"/>
        </w:rPr>
        <w:t>The bear case centers on the massive debt burden, cyclicality, and energy transition risk. Approximately $5.5B in debt against a market cap of roughly $4B means equity holders bear significant financial risk — interest expense consumes a large portion of operating cash flow, and any downturn in day rates could quickly push the company back into losses [3]. The forward P/E of 32.07 suggests the market already prices in profitability improvement, limiting upside from current levels. Offshore drilling is inherently cyclical, and the current upcycle could reverse if oil prices decline or E&amp;P capex budgets contract. The TTM net margin of -66.79% reflects the reality that recent profitability may be temporary rather than structural [3]. The Deepwater Horizon legacy (2010) creates permanent ESG and reputational overhang. Long-term energy transition away from fossil fuels threatens the secular demand outlook for ultra-deepwater drilling, though the timeline remains uncertain. The Inspire Impact Score of 41 (ALIGNED) is a moderate positive for faith-based investors despite the fossil fuel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 backlog of $6.7B (excluding $1B pending Equinor approvals) provides nearly 7 quarters of revenue visibility, and raised FY2026 revenue guidance to $3.9-3.975B signals management confidence in the offshore drilling upcycle [1]</w:t>
      </w:r>
    </w:p>
    <w:p>
      <w:pPr>
        <w:spacing w:before="40" w:after="40"/>
        <w:ind w:left="283"/>
      </w:pPr>
      <w:r>
        <w:rPr>
          <w:rFonts w:ascii="Calibri" w:hAnsi="Calibri"/>
          <w:b/>
          <w:color w:val="4A6B25"/>
          <w:sz w:val="20"/>
        </w:rPr>
        <w:t xml:space="preserve">2. </w:t>
      </w:r>
      <w:r>
        <w:rPr>
          <w:rFonts w:ascii="Calibri" w:hAnsi="Calibri"/>
          <w:b w:val="0"/>
          <w:color w:val="3A4A28"/>
          <w:sz w:val="20"/>
        </w:rPr>
        <w:t>Q2 2026 net income of $170M and free cash flow of $212M mark a profitability inflection that, if sustained, enables deleveraging of the ~$5.5B debt load and potential equity re-rating as financial risk diminishes [1]</w:t>
      </w:r>
    </w:p>
    <w:p>
      <w:pPr>
        <w:spacing w:before="40" w:after="40"/>
        <w:ind w:left="283"/>
      </w:pPr>
      <w:r>
        <w:rPr>
          <w:rFonts w:ascii="Calibri" w:hAnsi="Calibri"/>
          <w:b/>
          <w:color w:val="4A6B25"/>
          <w:sz w:val="20"/>
        </w:rPr>
        <w:t xml:space="preserve">3. </w:t>
      </w:r>
      <w:r>
        <w:rPr>
          <w:rFonts w:ascii="Calibri" w:hAnsi="Calibri"/>
          <w:b w:val="0"/>
          <w:color w:val="3A4A28"/>
          <w:sz w:val="20"/>
        </w:rPr>
        <w:t>94% active drillship coverage for remainder of 2026 with tight ultra-deepwater supply globally suggests day rate strength could persist, particularly as AI-driven electricity demand supports long-term oil consumption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Approximately $5.5B in debt against a ~$4B market cap creates existential leverage risk — any downturn in day rates or utilization could push the company back into losses and threaten debt service, with limited equity cushion for shareholders [3]</w:t>
      </w:r>
    </w:p>
    <w:p>
      <w:pPr>
        <w:spacing w:before="40" w:after="40"/>
        <w:ind w:left="283"/>
      </w:pPr>
      <w:r>
        <w:rPr>
          <w:rFonts w:ascii="Calibri" w:hAnsi="Calibri"/>
          <w:b/>
          <w:color w:val="4A6B25"/>
          <w:sz w:val="20"/>
        </w:rPr>
        <w:t xml:space="preserve">2. </w:t>
      </w:r>
      <w:r>
        <w:rPr>
          <w:rFonts w:ascii="Calibri" w:hAnsi="Calibri"/>
          <w:b w:val="0"/>
          <w:color w:val="3A4A28"/>
          <w:sz w:val="20"/>
        </w:rPr>
        <w:t>Offshore drilling is inherently cyclical, and the current upcycle depends on sustained E&amp;P capex budgets from major oil companies — any decline in oil prices below $60/bbl or shift in capital allocation toward renewables could contract the deepwater drilling market rapidly [1]</w:t>
      </w:r>
    </w:p>
    <w:p>
      <w:pPr>
        <w:spacing w:before="40" w:after="40"/>
        <w:ind w:left="283"/>
      </w:pPr>
      <w:r>
        <w:rPr>
          <w:rFonts w:ascii="Calibri" w:hAnsi="Calibri"/>
          <w:b/>
          <w:color w:val="4A6B25"/>
          <w:sz w:val="20"/>
        </w:rPr>
        <w:t xml:space="preserve">3. </w:t>
      </w:r>
      <w:r>
        <w:rPr>
          <w:rFonts w:ascii="Calibri" w:hAnsi="Calibri"/>
          <w:b w:val="0"/>
          <w:color w:val="3A4A28"/>
          <w:sz w:val="20"/>
        </w:rPr>
        <w:t>TTM net margin of -66.79% reflects recent legacy losses and demonstrates that Q2 2026 profitability ($170M net income) may not be durable — one-time items, contract timing, and interest expense variability could reverse earnings gains in subsequent quarters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Offshore deepwater drilling is one of the most AI-immune industries in existence — it requires massive physical rigs, specialized crews, complex subsea engineering, and operates in environments where human judgment and physical infrastructure cannot be substituted by software [1]. AI cannot drill for oil, manage riser systems, or handle dynamic positioning in deep ocean environments. Furthermore, AI's explosive growth is increasing global electricity demand, which supports long-term oil and gas consumption and thus offshore drilling activity. Transocean's ultra-deepwater and harsh-environment specialization adds additional insulation, as these are the most technically demanding and least commoditized drilling segments [2]. AI Opportunity (0/1): Transocean uses AI internally for predictive maintenance, safety analytics, and operational decision-making, but does not generate AI-specific revenue [2]. The company is an end-user of AI technology rather than a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Transocean Q2 2026 Earnings — Revenue $966M, Net Income $170M, Free Cash Flow $212M, Backlog $6.7B, Revenue Efficiency 97.3%, FY2026 Revenue Guidance $3.9-3.975B, August 2026</w:t>
      </w:r>
    </w:p>
    <w:p>
      <w:pPr>
        <w:spacing w:before="20" w:after="20"/>
        <w:ind w:left="170"/>
      </w:pPr>
      <w:r>
        <w:rPr>
          <w:rFonts w:ascii="Calibri" w:hAnsi="Calibri"/>
          <w:b/>
          <w:color w:val="4A6B25"/>
          <w:sz w:val="15"/>
        </w:rPr>
        <w:t xml:space="preserve">2. </w:t>
      </w:r>
      <w:r>
        <w:rPr>
          <w:rFonts w:ascii="Calibri" w:hAnsi="Calibri"/>
          <w:b w:val="0"/>
          <w:color w:val="3A4A28"/>
          <w:sz w:val="17"/>
        </w:rPr>
        <w:t>Transocean Leadership and Strategy — CEO Keelan Adamson, FIRST Values, AI and Data-Driven Operations, Safety Culture, Equinor $1B+ Contract, NYSE Podcast,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MacroTrends — RIG Key Statistics: Stock Price $5.05, Forward PE 32.07, D/E 64.38%, ROE -30.05%, Net Margin -66.79%, Revenue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