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RJF</w:t>
      </w:r>
      <w:r>
        <w:rPr>
          <w:rFonts w:ascii="Calibri" w:hAnsi="Calibri"/>
          <w:b/>
          <w:color w:val="1A2010"/>
          <w:sz w:val="40"/>
        </w:rPr>
        <w:t xml:space="preserve">  Raymond James Financial, Inc.</w:t>
      </w:r>
    </w:p>
    <w:p>
      <w:pPr>
        <w:spacing w:after="120"/>
      </w:pPr>
      <w:r>
        <w:rPr>
          <w:rFonts w:ascii="Calibri" w:hAnsi="Calibri"/>
          <w:b/>
          <w:color w:val="6E8450"/>
          <w:sz w:val="18"/>
        </w:rPr>
        <w:t>GROWTH SLEEVE · 2026-08-02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Raymond James Financial is a diversified financial services holding company providing wealth management, capital markets, asset management, and banking services. The firm operates through Private Client Group, Capital Markets, Asset Management, and Bank segments, serving individual and institutional clients with approximately $1.92 trillion in client assets under administration through ~8,800 financial advisors. Founded in 1962, headquartered in St. Petersburg, Florida.</w:t>
      </w:r>
    </w:p>
    <w:p>
      <w:r>
        <w:rPr>
          <w:rFonts w:ascii="Calibri" w:hAnsi="Calibri"/>
          <w:b/>
          <w:color w:val="6E8450"/>
          <w:sz w:val="18"/>
        </w:rPr>
        <w:t>19,500 Employees · https://www.raymondjames.com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Raymond James has grown steadily through organic expansion and acquisitions, including the $1.2B TriState Capital acquisition in 2022 and consistent advisor recruiting that drove client AUA to a record $1.92T [1]. These represent incremental extensions of the existing wealth management model rather than transformative pivots. AI Deployment (2/2): The firm has built a dedicated AI leadership structure: Chief AI Officer Stuart Feld, Head of AI Strategy David Solganik, and newly appointed Chief Architect Seth Ford (June 2026) [2]. Deployed AI tools include AI search functions, Zoom meeting summaries, AI note assistants in CRM, and GenAI-enhanced speech-to-text tools, with a meaningful portion of the $1B+ annual technology budget directed to AI [2]. Market Share (1/2): Record $1.92T in client assets under administration with domestic net new assets of $21.7B in Q3 FY2026 (5.5% annualized growth) reflects meaningful market share gains in wealth management [1]. Product Pipeline (1/2): AI-enhanced advisor tools and expanded banking capabilities are in development under the Chief Architect's purview, though specific next-generation product launches with revenue timelines have not been disclosed [2]. R&amp;D Intensity (1/1): The $1B+ annual technology budget represents approximately 7% of revenue, above average for the wealth management industry and reflects commitment to technology-driven differentiation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Raymond James' mission — helping individuals, corporations, and institutions achieve their unique goals while developing successful professionals and helping communities prosper — is genuine and client-centric but fairly standard for financial services [2]. It does not articulate a transformative vision of the future that differentiates from peer firms like Stifel, LPL, or Edward Jones. Community Impact (1/2): The Raymond James Foundation and associates donated over $34M to charitable causes in FY2024 [3]. The firm has also senior managed more than $1.8B in green and social bond issues since 2014 [3]. These represent meaningful community investment with specific dollar amounts, though modest relative to the firm's $33.7B market cap. Employee Retention (2/2): Raymond James is widely recognized for its advisor-centric culture — the Private Client Group model emphasizes advisor autonomy and support, and advisors consistently cite the culture as a key reason they join and stay [2]. CEO Paul Shoukry rose through the ranks over a 20+ year career at the firm, reflecting exceptional internal leadership development. The firm regularly appears on best-employer lists. Insider Buying (0/2): Net insider selling in 2026 — President Tashtego Elwyn sold 10,000 shares, Executive Chair sold 5,770 shares, and multiple other executives disposed of stock in July 2026 [4]. Zero net insider buying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48% is well below the 70% target, reflecting conservative leverage for a financial services firm [1]. ROE of 17.29% exceeds the 15% threshold, demonstrating efficient capital deployment [1]. Q3 FY2026 revenue growth of 16% YoY to a record $3.93B reflects accelerating momentum, though TTM revenue growth is approximately 8% [1]. Five-year revenue CAGR of approximately 10% reflects consistent expansion. Forward P/E of 11.95 is deeply undervalued relative to the 20x target [5]. Profit margin of approximately 15.2% is below the 20% target but reasonable for a high-touch financial services model. Estimated forward PEG of ~1.5 reflects moderate growth expectations from analysts projecting ~6% annual earnings growth [5]. Liquidity is ample with ~$262M daily traded value at estimated 1.5M avg daily volume at $174.97.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Raymond James demonstrates strong infinite game characteristics rooted in a multi-decade people-first culture established by founder Bob James over 60 years ago. The firm's emphasis on advisor autonomy, long-term client relationships, and conservative risk management reflects a company playing to endure rather than win any single quarter. The orderly CEO succession from Paul Reilly to Paul Shoukry — both long-tenured insiders — reinforces cultural continuity, and the firm's sustained investment of $1B+ annually in technology demonstrates commitment to future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Raymond James has a genuine cause rooted in its founding culture — putting clients and advisors first rather than maximizing short-term revenue. This people-first philosophy has been lived out for over 60 years, surviving multiple leadership transitions (Bob James to Tom James to Paul Reilly to Paul Shoukry) and market crises while guiding decisions like maintaining advisor independence when competitors consolidated [2]. The $34M annual charitable giving and the firm's consistent rejection of proprietary product models reinforce that the cause is lived. However, this is more cultural identity than a bold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Raymond James is one of the highest-trust organizations in financial services. The Private Client Group model explicitly empowers advisors with autonomy and support, and advisors consistently cite the firm's culture as a primary reason they join and stay [2]. CEO Paul Shoukry's 20+ year career rising through the ranks exemplifies internal leadership development, and the firm regularly appears on Fortune's Best Companies to Work For list. The culture is a genuine competitive advantage in advisor recruitment and retention, validated by record $21.7B in domestic net new assets in Q3 FY2026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Raymond James competes against Morgan Stanley, UBS, Stifel, and LPL Financial without framing competition in adversarial terms. Management consistently focuses on improving advisor experience and client outcomes rather than defeating competitors, with leadership explicitly stating that 'people need trusted advisors' in the world of AI and technology [2]. The firm's recruitment messaging emphasizes its own cultural strengths rather than competitors' weaknesses.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Raymond James evolved from a small regional brokerage into a diversified financial services firm with $1.92T in client assets, entering banking, capital markets, and asset management over decades. The TriState Capital acquisition (2022) expanded lending capabilities, and the firm is now pivoting toward AI-enhanced advisory services with a dedicated Chief AI Officer, Head of AI Strategy, and Chief Architect [2]. These represent steady evolution rather than transformative reinvention — the core identity as a people-first wealth management firm has remained constant.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Raymond James maintained its independent advisor model and conservative risk culture during the 2008 financial crisis when peers were failing, and invested $1B+ annually in technology while emphasizing that technology should augment rather than replace advisors [2]. The smooth CEO transition to Paul Shoukry was planned years in advance, reflecting long-term succession thinking. However, these are principled stands within the existing model rather than costly transformative bets — the firm's massive profitability ($595M net income in Q3 FY2026) means these investments carry limited relative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Raymond James Financial is delivering record results across all segments — Q3 FY2026 net revenues of $3.93B (up 16% YoY), net income of $595M ($3.01/diluted share, up 42% YoY), and client assets under administration reaching a record $1.92T [1]. At 11.95x forward P/E with 17.3% ROE and a conservative 48% D/E ratio, the stock is deeply undervalued relative to its financial performance. The firm's $1B+ annual technology investment, dedicated Chief AI Officer, and newly appointed Chief Architect position it to capture share in wealth management through AI-enhanced advisor tools while maintaining the people-first culture that drives industry-leading advisor retention [2]. The Bank segment's record growth with net loans expanding 14%+ YoY provides diversified earnings beyond traditional brokerage, and the smooth CEO transition to Paul Shoukry (20+ year veteran) ensures cultural continuity [1].</w:t>
      </w:r>
    </w:p>
    <w:p>
      <w:pPr>
        <w:spacing w:after="120"/>
      </w:pPr>
      <w:r>
        <w:rPr>
          <w:rFonts w:ascii="Calibri" w:hAnsi="Calibri"/>
          <w:b w:val="0"/>
          <w:color w:val="3A4A28"/>
          <w:sz w:val="20"/>
        </w:rPr>
        <w:t>The primary risk is equity market dependence — Raymond James' revenue and asset values are correlated with market performance, and a sustained bear market would compress client asset values, reduce transaction revenue, and slow the record $21.7B in domestic net new assets [1]. Profit margin of 15.2% is below the 20% target, reflecting the firm's high-touch service model and $1B+ technology spend. The capital markets segment is cyclical and dependent on M&amp;A/IPO activity. Forward PEG of approximately 1.5 reflects analyst expectations of only ~6% annual earnings growth going forward, suggesting the record Q3 FY2026 results may represent a cyclical peak rather than a sustainable growth trajectory [5]. Net insider selling — multiple executives disposing of stock in July 2026 — raises questions about near-term management outlook [4]. The dividend yield of 1.44% is below the 2% threshold for Dividend sleeve classification, and the Inspire Impact score of -49 may concern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client asset growth with $21.7B in domestic net new assets in Q3 FY2026 and $1.92T in AUA, reflecting strong advisor recruiting and organic growth momentum with 5.5% annualized net new asset growth [1]</w:t>
      </w:r>
    </w:p>
    <w:p>
      <w:pPr>
        <w:spacing w:before="40" w:after="40"/>
        <w:ind w:left="283"/>
      </w:pPr>
      <w:r>
        <w:rPr>
          <w:rFonts w:ascii="Calibri" w:hAnsi="Calibri"/>
          <w:b/>
          <w:color w:val="4A6B25"/>
          <w:sz w:val="20"/>
        </w:rPr>
        <w:t xml:space="preserve">2. </w:t>
      </w:r>
      <w:r>
        <w:rPr>
          <w:rFonts w:ascii="Calibri" w:hAnsi="Calibri"/>
          <w:b w:val="0"/>
          <w:color w:val="3A4A28"/>
          <w:sz w:val="20"/>
        </w:rPr>
        <w:t>AI-enhanced advisor platform with Chief AI Officer Stuart Feld, Head of AI Strategy David Solganik, and Chief Architect Seth Ford driving competitive differentiation through the $1B+ annual technology budget [2]</w:t>
      </w:r>
    </w:p>
    <w:p>
      <w:pPr>
        <w:spacing w:before="40" w:after="40"/>
        <w:ind w:left="283"/>
      </w:pPr>
      <w:r>
        <w:rPr>
          <w:rFonts w:ascii="Calibri" w:hAnsi="Calibri"/>
          <w:b/>
          <w:color w:val="4A6B25"/>
          <w:sz w:val="20"/>
        </w:rPr>
        <w:t xml:space="preserve">3. </w:t>
      </w:r>
      <w:r>
        <w:rPr>
          <w:rFonts w:ascii="Calibri" w:hAnsi="Calibri"/>
          <w:b w:val="0"/>
          <w:color w:val="3A4A28"/>
          <w:sz w:val="20"/>
        </w:rPr>
        <w:t>Deeply undervalued at 11.95x forward P/E with 17.3% ROE and Q3 FY2026 earnings up 42% YoY — the market has not fully priced in the acceleration from 8% TTM revenue growth to 16% quarterly growth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Equity market dependence — a sustained downturn would compress the $1.92T in client assets, transaction revenues, and advisory fee income, which collectively drive ~75% of Private Client Group revenue [1]</w:t>
      </w:r>
    </w:p>
    <w:p>
      <w:pPr>
        <w:spacing w:before="40" w:after="40"/>
        <w:ind w:left="283"/>
      </w:pPr>
      <w:r>
        <w:rPr>
          <w:rFonts w:ascii="Calibri" w:hAnsi="Calibri"/>
          <w:b/>
          <w:color w:val="4A6B25"/>
          <w:sz w:val="20"/>
        </w:rPr>
        <w:t xml:space="preserve">2. </w:t>
      </w:r>
      <w:r>
        <w:rPr>
          <w:rFonts w:ascii="Calibri" w:hAnsi="Calibri"/>
          <w:b w:val="0"/>
          <w:color w:val="3A4A28"/>
          <w:sz w:val="20"/>
        </w:rPr>
        <w:t>Forward PEG of ~1.5 with analyst expectations of only 6% earnings growth suggests the market may view record Q3 results as a cyclical peak rather than sustainable trajectory, limiting re-rating potential [5]</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 President Elwyn sold 10,000 shares, Executive Chair sold 5,770 shares, and multiple executives disposed of stock in July 2026, signaling potential near-term caution from management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Raymond James' core business — wealth management advisory relationships, investment banking, and commercial lending — has meaningful protection from AI disruption. The advisor-client relationship is fundamentally human and trust-based, regulated by FINRA and SEC compliance requirements, and involves high-value decisions that clients are unlikely to delegate to AI [2]. CEO Shoukry's predecessor Paul Reilly explicitly stated that personal relationships 'trump' any technology. However, portions of the capital markets business (equity research, trade execution) face AI automation pressure, and robo-advisory platforms represent a structural competitive threat to the lower end of the wealth management market. AI Opportunity (1/1): Raymond James generates meaningful AI value through deployed AI search functions, note-taking applications, CRM integration, and cybersecurity tools, led by a dedicated Chief AI Officer, Head of AI Strategy, and newly appointed Chief Architect [2]. The $1B+ annual tech budget directed partly to AI represents genuine AI investment for a wealth management firm.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Raymond James Financial Q3 FY2026 Earnings Release — Record $3.93B net revenues (up 16% YoY), $595M net income ($3.01/diluted share, up 42%), $1.92T client AUA, $21.7B domestic net new assets; GlobeNewsWire, July 22, 2026</w:t>
      </w:r>
    </w:p>
    <w:p>
      <w:pPr>
        <w:spacing w:before="20" w:after="20"/>
        <w:ind w:left="170"/>
      </w:pPr>
      <w:r>
        <w:rPr>
          <w:rFonts w:ascii="Calibri" w:hAnsi="Calibri"/>
          <w:b/>
          <w:color w:val="4A6B25"/>
          <w:sz w:val="15"/>
        </w:rPr>
        <w:t xml:space="preserve">2. </w:t>
      </w:r>
      <w:r>
        <w:rPr>
          <w:rFonts w:ascii="Calibri" w:hAnsi="Calibri"/>
          <w:b w:val="0"/>
          <w:color w:val="3A4A28"/>
          <w:sz w:val="17"/>
        </w:rPr>
        <w:t>Raymond James AI and Technology Leadership — Chief AI Officer Stuart Feld, Head of AI Strategy David Solganik, Chief Architect Seth Ford (June 2026), $1B+ tech budget, AI tools deployed; SahmCapital, GlobeNewsWire, 2025-2026</w:t>
      </w:r>
    </w:p>
    <w:p>
      <w:pPr>
        <w:spacing w:before="20" w:after="20"/>
        <w:ind w:left="170"/>
      </w:pPr>
      <w:r>
        <w:rPr>
          <w:rFonts w:ascii="Calibri" w:hAnsi="Calibri"/>
          <w:b/>
          <w:color w:val="4A6B25"/>
          <w:sz w:val="15"/>
        </w:rPr>
        <w:t xml:space="preserve">3. </w:t>
      </w:r>
      <w:r>
        <w:rPr>
          <w:rFonts w:ascii="Calibri" w:hAnsi="Calibri"/>
          <w:b w:val="0"/>
          <w:color w:val="3A4A28"/>
          <w:sz w:val="17"/>
        </w:rPr>
        <w:t>Raymond James Community and Culture — $34M charitable giving FY2024, $1.8B+ green/social bonds, Raymond James Foundation, people-first culture; RaymondJames.com,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Raymond James Insider Transactions — President Elwyn sold 10,000 shares, Executive Chair sold 5,770 shares, multiple executive dispositions July 2026; MarketBeat, StockTitan, Daily Political,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Yahoo Finance — RJF Statistics, Valuation, and Market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