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RNA</w:t>
      </w:r>
      <w:r>
        <w:rPr>
          <w:rFonts w:ascii="Calibri" w:hAnsi="Calibri"/>
          <w:b/>
          <w:color w:val="1A2010"/>
          <w:sz w:val="40"/>
        </w:rPr>
        <w:t xml:space="preserve">  Atrium Therapeutics, Inc.</w:t>
      </w:r>
    </w:p>
    <w:p>
      <w:pPr>
        <w:spacing w:after="120"/>
      </w:pPr>
      <w:r>
        <w:rPr>
          <w:rFonts w:ascii="Calibri" w:hAnsi="Calibri"/>
          <w:b/>
          <w:color w:val="6E8450"/>
          <w:sz w:val="18"/>
        </w:rPr>
        <w:t>GROWTH SLEEVE · 2026-07-26 · Inspire: 35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United States</w:t>
      </w:r>
    </w:p>
    <w:p>
      <w:pPr>
        <w:spacing w:after="80"/>
      </w:pPr>
      <w:r>
        <w:rPr>
          <w:rFonts w:ascii="Calibri" w:hAnsi="Calibri"/>
          <w:b w:val="0"/>
          <w:color w:val="3A4A28"/>
          <w:sz w:val="20"/>
        </w:rPr>
        <w:t>Atrium Therapeutics is a preclinical-stage biopharmaceutical company focused on delivering RNA therapeutics directly to the heart to treat rare genetic cardiomyopathies. Spun out of Avidity Biosciences following Novartis's $12B acquisition in February 2026, Atrium launched with approximately $270M in cash, two lead candidates (ATR 1072 for PRKAG2 syndrome, ATR 1086 for PLN cardiomyopathy), and a productive Bristol Myers Squibb collaboration worth up to $2.175B in milestones plus royalties.</w:t>
      </w:r>
    </w:p>
    <w:p>
      <w:r>
        <w:rPr>
          <w:rFonts w:ascii="Calibri" w:hAnsi="Calibri"/>
          <w:b/>
          <w:color w:val="6E8450"/>
          <w:sz w:val="18"/>
        </w:rPr>
        <w:t>https://atriumtherapeutics.com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(0/3): Atrium Therapeutics was incorporated in 2025 and launched publicly on February 27, 2026 — there is no independent product launch, market pivot, or business model transformation history to evaluate [2]. The company inherited Avidity Biosciences' antibody-oligonucleotide conjugate (AOC) platform for cardiac delivery but has not yet independently demonstrated execution. AI Deployment (0/2): No AI-powered products or AI-driven operational efficiencies. The company is focused on wet-lab preclinical RNA therapeutics development with no AI application evident in its operations [2]. Market Share (1/2): Atrium occupies a differentiated niche in cardiac-targeted RNA delivery — the AOC platform enabled the first successful delivery of RNA to muscle at Avidity and is now being applied to heart tissue, a space with limited direct competition [2]. Pipeline (2/2): Two named candidates with specific timelines: ATR 1072 (PRKAG2 syndrome) IND filing planned H2 2026, ATR 1086 (PLN cardiomyopathy) IND planned 2027, plus two undisclosed research-stage programs. The BMS collaboration generated a $15M milestone payment in Q1 2026 and is worth up to $2.175B in total milestones ($1.35B research/development + $825M commercial) plus tiered royalties [1][3]. R&amp;D Intensity (0/1): As a preclinical company spending essentially all operating capital on R&amp;D ($16.7M in Q1 2026 on $19.6M revenue), intensity is structurally maximal but not meaningfully differentiated from biotech peers.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Atrium's mission to 'pave a new path for precision cardiology' by delivering RNA medicines directly to the heart is specific, patient-focused, and reflects genuine intentionality [2]. CEO Kathleen Gallagher emphasizes the vision to 'take all of that technology and science and really focus it into the precision cardio space,' connecting the work to transforming outcomes for patients with PRKAG2 syndrome and PLN cardiomyopathy who currently have no treatment options. The mission differentiates from peers and clearly guides strategic decisions. Community Impact (0/2): No evidence of charitable programs or community investment. The company is less than 6 months old with no established CSR track record. Employee Retention (0/2): No employee retention or culture data available for a company that launched in February 2026. Insider Buying (0/2): CEO Gallagher received equity grants (RSUs and 205,000-share options) as founding compensation, but these are standard executive awards, not open-market purchases demonstrating personal conviction.</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Atrium has a clean balance sheet with $267.8M cash, minimal debt (D/E approximately 25% based on total liabilities of $58.3M against $234.1M equity, with no interest-bearing debt), and a strong BMS collaboration providing non-dilutive funding potential [1]. FY2025 revenue of $18.6M grew approximately 71% YoY, though this is entirely collaboration and milestone-driven revenue that varies widely quarter to quarter ($19.6M in Q1 2026 alone due to a $15M BMS milestone, versus $1.6M in Q1 2025) [1]. All profitability metrics score at floor or below: profit margin of approximately -160% (TTM net loss of $58.7M on $36.7M revenue), ROE of approximately -25%, and negative forward P/E [1]. Infrastructure score of 4/10 reflects the clean balance sheet (D/E at target) and positive revenue growth (at target) offset by zero scores on all profitability and valuation metrics. Forward P/E and PEG excluded as non-meaningful for a pre-revenue biotech.</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2</w:t>
      </w:r>
      <w:r>
        <w:rPr>
          <w:rFonts w:ascii="Calibri" w:hAnsi="Calibri"/>
          <w:b w:val="0"/>
          <w:color w:val="9DAF88"/>
          <w:sz w:val="18"/>
        </w:rPr>
        <w:t xml:space="preserve"> /10</w:t>
      </w:r>
    </w:p>
    <w:p>
      <w:pPr>
        <w:spacing w:after="120"/>
      </w:pPr>
      <w:r>
        <w:rPr>
          <w:rFonts w:ascii="Calibri" w:hAnsi="Calibri"/>
          <w:b w:val="0"/>
          <w:color w:val="3A4A28"/>
          <w:sz w:val="18"/>
        </w:rPr>
        <w:t>Atrium Therapeutics is too new (launched February 2026) to have demonstrated infinite game characteristics through crises, leadership transitions, or multi-year strategic consistency. The company has a genuine and specific purpose in rare precision cardiology, but with zero independent operating history, the cause remains untested.</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Atrium's cause — transforming care for people living with rare, life-threatening genetic cardiomyopathies through precision RNA delivery to the heart — is genuine, specific, and service-oriented [2]. It describes a future state where patients with PRKAG2 syndrome and PLN cardiomyopathy have treatment options that do not currently exist. The cause is inclusive (patients, families, caregivers) and idealistic (a world where genetic heart disease is treatable). CEO Gallagher's framing reflects personal conviction. However, the cause has not been tested through crisis, leadership transition, or multi-decade execution, preventing a full 3/3.</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Atrium launched in February 2026 with a newly assembled team spun out from Avidity Biosciences. No data exists on employee tenure, voluntary turnover, or organizational culture. CEO Gallagher and Board Chair Sarah Boyce (Avidity's former CEO) provide continuity from the parent organization, but the company is too young to evaluate trust dynamics or psychological safety.</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competitive framing. Atrium operates in a niche with limited direct competition in cardiac-targeted RNA delivery. No management commentary referencing competitors or acknowledging rival strengths was identified. The company's positioning emphasizes its unique platform rather than learning from competitive dynamics.</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Atrium is a brand-new company that has not yet faced any existential test. The company has a focused pipeline (cardiac RNA therapeutics, two lead candidates) but has not demonstrated willingness or ability to pivot if the core AOC-to-heart approach fails. The narrow indication focus (PRKAG2, PLN) is appropriate for a preclinical biotech but means the company has not yet needed to make difficult strategic trade-offs.</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No evidence of courageous leadership decisions — the company is less than 6 months old and has not yet faced the trade-offs between short-term and long-term results that test leadership courage. CEO Gallagher accepted the challenge of leading a spinoff biotech focused on rare cardiac diseases, but this represents professional ambition rather than a pattern of courageous decision-making that sacrifices near-term results for long-term capability.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Atrium Therapeutics occupies a differentiated position in cardiac-targeted RNA delivery, a nascent therapeutic category with significant unmet need in rare genetic cardiomyopathies affecting tens of thousands of patients with no approved treatments [2]. The company launched with $270M cash (now $267.8M as of Q1 2026), providing 4-5 years of runway, a Bristol Myers Squibb collaboration worth up to $2.175B in milestones plus royalties that generated $15M in Q1 2026, and two lead candidates with clear IND timelines — ATR 1072 (PRKAG2) in H2 2026 and ATR 1086 (PLN) in 2027 [1][3]. At $196M market cap versus $267.8M cash, the stock trades below cash value, implying the market assigns negative value to the pipeline and BMS collaboration. The AOC platform's clinical validation at Avidity (three programs reached registrational development before Novartis acquired for $12B) provides technology credibility. Inspire Impact Score of 35 (ALIGNED) with 7 positive attributions including customer welfare and product safety supports faith-aligned investing.</w:t>
      </w:r>
    </w:p>
    <w:p>
      <w:pPr>
        <w:spacing w:after="120"/>
      </w:pPr>
      <w:r>
        <w:rPr>
          <w:rFonts w:ascii="Calibri" w:hAnsi="Calibri"/>
          <w:b w:val="0"/>
          <w:color w:val="3A4A28"/>
          <w:sz w:val="20"/>
        </w:rPr>
        <w:t>The bear case is substantial for a preclinical-stage biotech with zero approved products and no sustainable product revenue. Q1 2026 net loss widened 45% to $16.6M from $11.4M as G&amp;A expenses of $20.3M exceeded collaboration revenue, reflecting the cost of building an independent public company infrastructure [1]. Both lead candidates are preclinical, meaning 5-7+ years of clinical development risk before potential commercialization — the probability of approval for preclinical assets is approximately 5-10%. The 71% YoY revenue growth is entirely milestone-driven (a single $15M BMS payment in Q1 2026) and will be lumpy and unpredictable. The $196M market cap is below the $267.8M cash position, but this discount reflects the market's assessment that the $58.7M annual cash burn will consume the treasury before value-creating milestones materialize. Dilutive capital raises are likely within 3-4 years. As a newly public spinoff, the company has zero independent operating history, no institutional track record, and limited analyst coverage (only 3 analysts).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ATR 1072 IND filing for PRKAG2 syndrome expected H2 2026, the first major clinical milestone for the independent company and potential catalyst for re-rating above cash value [2]</w:t>
      </w:r>
    </w:p>
    <w:p>
      <w:pPr>
        <w:spacing w:before="40" w:after="40"/>
        <w:ind w:left="283"/>
      </w:pPr>
      <w:r>
        <w:rPr>
          <w:rFonts w:ascii="Calibri" w:hAnsi="Calibri"/>
          <w:b/>
          <w:color w:val="4A6B25"/>
          <w:sz w:val="20"/>
        </w:rPr>
        <w:t xml:space="preserve">2. </w:t>
      </w:r>
      <w:r>
        <w:rPr>
          <w:rFonts w:ascii="Calibri" w:hAnsi="Calibri"/>
          <w:b w:val="0"/>
          <w:color w:val="3A4A28"/>
          <w:sz w:val="20"/>
        </w:rPr>
        <w:t>Bristol Myers Squibb collaboration milestone payments providing non-dilutive funding and ongoing validation of the AOC platform technology — up to $2.175B in total milestones [1][3]</w:t>
      </w:r>
    </w:p>
    <w:p>
      <w:pPr>
        <w:spacing w:before="40" w:after="40"/>
        <w:ind w:left="283"/>
      </w:pPr>
      <w:r>
        <w:rPr>
          <w:rFonts w:ascii="Calibri" w:hAnsi="Calibri"/>
          <w:b/>
          <w:color w:val="4A6B25"/>
          <w:sz w:val="20"/>
        </w:rPr>
        <w:t xml:space="preserve">3. </w:t>
      </w:r>
      <w:r>
        <w:rPr>
          <w:rFonts w:ascii="Calibri" w:hAnsi="Calibri"/>
          <w:b w:val="0"/>
          <w:color w:val="3A4A28"/>
          <w:sz w:val="20"/>
        </w:rPr>
        <w:t>Market recognition that the stock trades below cash ($11.49 share price, $196M market cap vs. $267.8M cash) with a validated technology platform and productive pharma collaboration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Preclinical-stage binary risk — both lead candidates have not yet entered human clinical trials, with historical probability of approval from preclinical stage of approximately 5-10% over a 5-7+ year timeline [2]</w:t>
      </w:r>
    </w:p>
    <w:p>
      <w:pPr>
        <w:spacing w:before="40" w:after="40"/>
        <w:ind w:left="283"/>
      </w:pPr>
      <w:r>
        <w:rPr>
          <w:rFonts w:ascii="Calibri" w:hAnsi="Calibri"/>
          <w:b/>
          <w:color w:val="4A6B25"/>
          <w:sz w:val="20"/>
        </w:rPr>
        <w:t xml:space="preserve">2. </w:t>
      </w:r>
      <w:r>
        <w:rPr>
          <w:rFonts w:ascii="Calibri" w:hAnsi="Calibri"/>
          <w:b w:val="0"/>
          <w:color w:val="3A4A28"/>
          <w:sz w:val="20"/>
        </w:rPr>
        <w:t>Cash runway dependency — $267.8M cash supports approximately 4 years at current $16.6M quarterly burn rate, with accelerating R&amp;D spend as programs advance toward IND and Phase 1 [1]</w:t>
      </w:r>
    </w:p>
    <w:p>
      <w:pPr>
        <w:spacing w:before="40" w:after="40"/>
        <w:ind w:left="283"/>
      </w:pPr>
      <w:r>
        <w:rPr>
          <w:rFonts w:ascii="Calibri" w:hAnsi="Calibri"/>
          <w:b/>
          <w:color w:val="4A6B25"/>
          <w:sz w:val="20"/>
        </w:rPr>
        <w:t xml:space="preserve">3. </w:t>
      </w:r>
      <w:r>
        <w:rPr>
          <w:rFonts w:ascii="Calibri" w:hAnsi="Calibri"/>
          <w:b w:val="0"/>
          <w:color w:val="3A4A28"/>
          <w:sz w:val="20"/>
        </w:rPr>
        <w:t>G&amp;A of $20.3M in Q1 2026 (annualized $81.2M) exceeds total collaboration revenue, reflecting heavy public company infrastructure costs that drain cash without contributing to pipeline advancement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RNA-based drug development targeting rare genetic cardiomyopathies is structurally immune to AI disruption. The core value proposition — delivering therapeutic RNA molecules directly to heart tissue via antibody-oligonucleotide conjugates — requires physical molecular engineering, wet-lab biology, animal models, and multi-year clinical trials that AI structurally cannot substitute [2]. Drug development in rare diseases involves deep regulatory complexity (orphan drug pathways, FDA breakthrough designations), extremely small patient populations, and specialized manufacturing that create natural moats against AI displacement. AI may accelerate certain drug discovery functions (target identification, molecular optimization, clinical trial design), but this benefits rather than threatens companies like Atrium — AI is a tool for drug developers, not a substitute for them. AI Opportunity (0/1): No evidence of AI-generated revenue or AI-powered products. Atrium is a preclinical biotech without AI-specific commercial applications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35</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Atrium Therapeutics Q1 2026 Financial Results — Collaboration revenue $19.6M, net loss $16.6M, cash $267.8M, StockTitan/BioSpace, April 2026</w:t>
      </w:r>
    </w:p>
    <w:p>
      <w:pPr>
        <w:spacing w:before="20" w:after="20"/>
        <w:ind w:left="170"/>
      </w:pPr>
      <w:r>
        <w:rPr>
          <w:rFonts w:ascii="Calibri" w:hAnsi="Calibri"/>
          <w:b/>
          <w:color w:val="4A6B25"/>
          <w:sz w:val="15"/>
        </w:rPr>
        <w:t xml:space="preserve">2. </w:t>
      </w:r>
      <w:r>
        <w:rPr>
          <w:rFonts w:ascii="Calibri" w:hAnsi="Calibri"/>
          <w:b w:val="0"/>
          <w:color w:val="3A4A28"/>
          <w:sz w:val="17"/>
        </w:rPr>
        <w:t>Atrium Therapeutics Launch — $270M cash, AOC platform, precision cardiology mission, PRNewswire, February 27, 2026</w:t>
      </w:r>
    </w:p>
    <w:p>
      <w:pPr>
        <w:spacing w:before="20" w:after="20"/>
        <w:ind w:left="170"/>
      </w:pPr>
      <w:r>
        <w:rPr>
          <w:rFonts w:ascii="Calibri" w:hAnsi="Calibri"/>
          <w:b/>
          <w:color w:val="4A6B25"/>
          <w:sz w:val="15"/>
        </w:rPr>
        <w:t xml:space="preserve">3. </w:t>
      </w:r>
      <w:r>
        <w:rPr>
          <w:rFonts w:ascii="Calibri" w:hAnsi="Calibri"/>
          <w:b w:val="0"/>
          <w:color w:val="3A4A28"/>
          <w:sz w:val="17"/>
        </w:rPr>
        <w:t>Bristol Myers Squibb Collaboration — $15M Q1 milestone, up to $2.175B total milestones plus royalties, PRNewswire, April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Stock Analysis — RNA market data, $196M market cap, $11.49 share price,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