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RPGL</w:t>
      </w:r>
      <w:r>
        <w:rPr>
          <w:rFonts w:ascii="Calibri" w:hAnsi="Calibri"/>
          <w:b/>
          <w:color w:val="1A2010"/>
          <w:sz w:val="40"/>
        </w:rPr>
        <w:t xml:space="preserve">  Republic Power Group Limited</w:t>
      </w:r>
    </w:p>
    <w:p>
      <w:pPr>
        <w:spacing w:after="120"/>
      </w:pPr>
      <w:r>
        <w:rPr>
          <w:rFonts w:ascii="Calibri" w:hAnsi="Calibri"/>
          <w:b/>
          <w:color w:val="6E8450"/>
          <w:sz w:val="18"/>
        </w:rPr>
        <w:t>GROWTH SLEEVE · 2026-07-21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Singapore</w:t>
      </w:r>
    </w:p>
    <w:p>
      <w:pPr>
        <w:spacing w:after="80"/>
      </w:pPr>
      <w:r>
        <w:rPr>
          <w:rFonts w:ascii="Calibri" w:hAnsi="Calibri"/>
          <w:b w:val="0"/>
          <w:color w:val="3A4A28"/>
          <w:sz w:val="20"/>
        </w:rPr>
        <w:t>Republic Power Group Limited provides customized enterprise resource planning (ERP) software solutions, consulting and technical support services, and peripheral hardware to corporate clients and government agencies in Singapore and Malaysia. The company integrates AI and IoT capabilities into its ERP solutions and is developing a SaaS subscription-based ERP product. Incorporated in 2015 and headquartered in Singapore, RPGL is a subsidiary of True Sage International Limited.</w:t>
      </w:r>
    </w:p>
    <w:p>
      <w:r>
        <w:rPr>
          <w:rFonts w:ascii="Calibri" w:hAnsi="Calibri"/>
          <w:b/>
          <w:color w:val="6E8450"/>
          <w:sz w:val="18"/>
        </w:rPr>
        <w:t>8 Employees · https://republicpower.net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Republic Power has not achieved a successful product launch or business model transformation in the last 5 years. Revenue has been highly volatile — $5.0M (FY2023), $0.7M (FY2024), $3.0M (FY2025) — reflecting project-based revenue swings rather than innovation-driven growth [1]. The FY2024 collapse was attributed to loss of major projects and shareholder transition. AI Deployment (1/2): The company mentions AI and IoT integration in its ERP solutions for prediction and operational data analysis, and its ERP products include autonomous or semi-autonomous IoT outcomes [2]. However, no specific AI-driven products are shipping to customers with quantified revenue or cost savings. Market Share (0/2): Republic Power is a nano-cap company ($6M market cap) with 8 employees serving a narrow set of clients in Singapore and Malaysia; 70% of revenue comes from a limited number of major clients, and the company has no meaningful market share in any market segment [1]. Pipeline (1/2): The company is developing a subscription-based SaaS ERP product currently in pilot testing, expected to launch in Q3 FY2026 [1]. Additionally, the NVT strategic partnership for blockchain-enabled RWA tokenization announced in February 2026 represents another potential revenue stream [3]. R&amp;D Intensity (0/1): With only 8 employees and $3M revenue, R&amp;D resources are extremely limited relative to ERP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Republic Power does not articulate a distinctive mission, purpose, or vision beyond providing ERP software solutions to corporate clients and government agencies [2]. The company's purpose is generic and interchangeable with any small IT services firm — 'providing customized ERP software solutions' is a business description, not a mission. Community Impact (0/2): No evidence of charitable giving, community programs, or meaningful social investment was found in the research. The company's minimal scale (8 employees, $3M revenue) limits community impact capacity [1]. Employee Retention (0/2): With only 8 full-time employees, no meaningful retention data is available; the micro-scale makes traditional retention metrics inapplicable [1]. Insider Buying (0/2): The chairman's affiliate purchased Class B shares at a premium in April 2026 [4], but this appears to be a control structure transaction rather than open-market buying signaling conviction in the company's future. No meaningful net insider buying by CEO Ziyang Long or executives with specific dollar amounts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FAILED: Average daily volume of approximately 95,000-359,000 shares multiplied by the $0.69 stock price equals $66,000-$248,000 in daily traded value, far below the $1,000,000 minimum liquidity threshold [4]. Infrastructure score is automatically set to 0 regardless of other metrics. For context: Republic Power received a Nasdaq bid price deficiency notice in January 2026 for trading below $1.00, executed a 1-for-20 reverse stock split in February 2026 and a 1-for-40 reverse stock split in May 2026 to regain compliance, and disclosed an accounting discrepancy during an internal audit in November 2025 that triggered a 42.95% stock decline [3][4]. Market capitalization has collapsed to approximately $6 million. The company has $3M in annual revenue, D/E of 27%, and gross margin of 79.2%, but the micro-scale and governance issues render financial metrics unreliable indicators of institutional-quality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Republic Power Group displays predominantly finite-game characteristics. The company lacks a discernible Just Cause beyond commercial survival, faces Nasdaq compliance issues and accounting discrepancies, and its volatile revenue pattern ($5M to $0.7M to $3M over three years) suggests reactive project-based operations rather than purposeful long-term strategy. The 8-employee organization is too small and too governance-challenged to demonstrate the endurance, trust, or flexibility that characterize infinite-game players.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(0/3): No distinctive purpose or vision was identified in Republic Power's public communications [2]. The company exists to sell ERP software and consulting services — there is no articulated vision of a future state that inspires beyond commercial transactions. The description as an ERP provider for 'trading, logistics, and property management industries' is a business function, not a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 trust environment (0/2): With only 8 full-time employees, traditional team trust metrics are not applicable [1]. However, the accounting discrepancy discovered during an internal audit in November 2025, the multiple Nasdaq non-compliance notices (bid price deficiency, late Form 20-F filing), and the need for two reverse stock splits within four months signal governance weaknesses that undermine organizational trust [3][4].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competitive mindset (0/1): Republic Power does not publicly discuss competitors, competitive learning, or how rival strengths inform its own improvement [1][2]. The company's competitive positioning, to the extent it exists, is based on niche Singapore/Malaysia government relationships rather than a philosophy of continuous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Republic Power has shown some flexibility by expanding beyond traditional ERP software into AI/IoT integration and pursuing a SaaS subscription model to replace volatile project-based revenue [1][2]. The NVT strategic partnership for blockchain-enabled RWA tokenization represents another business model experiment [3]. For an 8-employee company, this breadth of experimentation is notable, though none of these pivots have produced meaningful revenue.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courageous decisions (0/2): The company's recent history is marked by reactive responses — revenue collapse in FY2024, accounting discrepancy, Nasdaq compliance failures, delayed SaaS product launch, and emergency reverse stock splits [3][4]. These actions represent survival measures rather than bold strategic choices. No evidence of leadership sacrificing short-term performance for long-term capability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Republic Power Group is a nano-cap Singapore-based ERP software provider with $3.0M in annual revenue, 8 employees, and a $6M market cap [1][4]. The stock trades at a nominal 1.8x trailing P/E with 12% profit margins and 79% gross margins, suggesting the core ERP consulting business is profitable when projects are active. The company is developing a SaaS subscription-based ERP product expected to launch in Q3 FY2026, which could provide more predictable recurring revenue [1]. The NVT strategic partnership for blockchain-enabled asset tokenization announced in February 2026 represents a speculative growth avenue [3]. AI and IoT integration in ERP solutions positions the company to pursue specialized projects requiring advanced integrated solutions [2].</w:t>
      </w:r>
    </w:p>
    <w:p>
      <w:pPr>
        <w:spacing w:after="120"/>
      </w:pPr>
      <w:r>
        <w:rPr>
          <w:rFonts w:ascii="Calibri" w:hAnsi="Calibri"/>
          <w:b w:val="0"/>
          <w:color w:val="3A4A28"/>
          <w:sz w:val="20"/>
        </w:rPr>
        <w:t>The bear case is overwhelming for any institutional-quality investor. Republic Power fails the IOWN liquidity floor with daily traded value of approximately $66K-$248K versus the $1M minimum [4]. The company disclosed an accounting discrepancy in November 2025 that triggered a 43% stock decline, received multiple Nasdaq non-compliance notices (bid price deficiency, late filings), and executed two reverse stock splits within four months (1-for-20 in February, 1-for-40 in May 2026) to avoid delisting [3][4]. Revenue volatility is extreme ($5M to $0.7M to $3M over three years), with 70% client concentration creating zero visibility into future earnings [1]. The company competes in a market dominated by Microsoft, SAP, and Oracle who are investing billions in AI-native ERP capabilities. The subsidiary relationship with True Sage International Limited creates complex governance dynamics for minority shareholders. Market capitalization has collapsed from $20M to approximately $6M, and the stock has lost over 99% of its value from its October 2025 all-time high.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launch of SaaS subscription-based ERP product in Q3 FY2026, creating recurring revenue and reducing extreme project-based volatility [1]</w:t>
      </w:r>
    </w:p>
    <w:p>
      <w:pPr>
        <w:spacing w:before="40" w:after="40"/>
        <w:ind w:left="283"/>
      </w:pPr>
      <w:r>
        <w:rPr>
          <w:rFonts w:ascii="Calibri" w:hAnsi="Calibri"/>
          <w:b/>
          <w:color w:val="4A6B25"/>
          <w:sz w:val="20"/>
        </w:rPr>
        <w:t xml:space="preserve">2. </w:t>
      </w:r>
      <w:r>
        <w:rPr>
          <w:rFonts w:ascii="Calibri" w:hAnsi="Calibri"/>
          <w:b w:val="0"/>
          <w:color w:val="3A4A28"/>
          <w:sz w:val="20"/>
        </w:rPr>
        <w:t>NVT strategic partnership for blockchain-enabled RWA tokenization generating measurable revenue and validating diversification beyond traditional ERP consulting [3]</w:t>
      </w:r>
    </w:p>
    <w:p>
      <w:pPr>
        <w:spacing w:before="40" w:after="40"/>
        <w:ind w:left="283"/>
      </w:pPr>
      <w:r>
        <w:rPr>
          <w:rFonts w:ascii="Calibri" w:hAnsi="Calibri"/>
          <w:b/>
          <w:color w:val="4A6B25"/>
          <w:sz w:val="20"/>
        </w:rPr>
        <w:t xml:space="preserve">3. </w:t>
      </w:r>
      <w:r>
        <w:rPr>
          <w:rFonts w:ascii="Calibri" w:hAnsi="Calibri"/>
          <w:b w:val="0"/>
          <w:color w:val="3A4A28"/>
          <w:sz w:val="20"/>
        </w:rPr>
        <w:t>Regaining sustained Nasdaq compliance and rebuilding investor confidence following the accounting discrepancy and multiple reverse stock splits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from repeated bid price deficiency and compliance failures — two reverse stock splits in four months signal persistent inability to maintain minimum listing standards [3][4]</w:t>
      </w:r>
    </w:p>
    <w:p>
      <w:pPr>
        <w:spacing w:before="40" w:after="40"/>
        <w:ind w:left="283"/>
      </w:pPr>
      <w:r>
        <w:rPr>
          <w:rFonts w:ascii="Calibri" w:hAnsi="Calibri"/>
          <w:b/>
          <w:color w:val="4A6B25"/>
          <w:sz w:val="20"/>
        </w:rPr>
        <w:t xml:space="preserve">2. </w:t>
      </w:r>
      <w:r>
        <w:rPr>
          <w:rFonts w:ascii="Calibri" w:hAnsi="Calibri"/>
          <w:b w:val="0"/>
          <w:color w:val="3A4A28"/>
          <w:sz w:val="20"/>
        </w:rPr>
        <w:t>Accounting discrepancy discovered in November 2025 internal audit has not been fully resolved publicly, creating ongoing governance and financial reporting credibility risk [3]</w:t>
      </w:r>
    </w:p>
    <w:p>
      <w:pPr>
        <w:spacing w:before="40" w:after="40"/>
        <w:ind w:left="283"/>
      </w:pPr>
      <w:r>
        <w:rPr>
          <w:rFonts w:ascii="Calibri" w:hAnsi="Calibri"/>
          <w:b/>
          <w:color w:val="4A6B25"/>
          <w:sz w:val="20"/>
        </w:rPr>
        <w:t xml:space="preserve">3. </w:t>
      </w:r>
      <w:r>
        <w:rPr>
          <w:rFonts w:ascii="Calibri" w:hAnsi="Calibri"/>
          <w:b w:val="0"/>
          <w:color w:val="3A4A28"/>
          <w:sz w:val="20"/>
        </w:rPr>
        <w:t>Extreme client concentration with 70% of revenue from a limited number of clients — loss of a single major account caused an 86% revenue decline in FY2024, and the 8-employee organization has no redundancy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Republic Power's core business — customized ERP software solutions and consulting for corporate clients and government agencies in Singapore and Malaysia — faces meaningful AI disruption risk [1][2]. Large-scale AI platforms (Microsoft Dynamics Copilot, SAP Joule, Oracle AI) are integrating AI-native capabilities into enterprise ERP systems, potentially reducing demand for small, custom ERP providers. The company's focus on government agencies provides some regulatory and relationship-based protection, and customized solutions for niche markets (trading, logistics, property management) are harder for AI to fully automate. However, the 70% client concentration means AI-driven displacement of even one major client could be catastrophic. The company's $6M market cap and 8 employees leave it unable to compete on AI investment with enterprise software giants spending billions on AI capabilities. AI Opportunity (0/1): While the company mentions AI and IoT integration in its ERP solutions, no specific AI-related revenue figures or percentages have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Republic Power Group Form 20-F Annual Report — $3.0M FY2025 revenue, volatile revenue history, 70% client concentration, SaaS pivot, 2025-2026</w:t>
      </w:r>
    </w:p>
    <w:p>
      <w:pPr>
        <w:spacing w:before="20" w:after="20"/>
        <w:ind w:left="170"/>
      </w:pPr>
      <w:r>
        <w:rPr>
          <w:rFonts w:ascii="Calibri" w:hAnsi="Calibri"/>
          <w:b/>
          <w:color w:val="4A6B25"/>
          <w:sz w:val="15"/>
        </w:rPr>
        <w:t xml:space="preserve">2. </w:t>
      </w:r>
      <w:r>
        <w:rPr>
          <w:rFonts w:ascii="Calibri" w:hAnsi="Calibri"/>
          <w:b w:val="0"/>
          <w:color w:val="3A4A28"/>
          <w:sz w:val="17"/>
        </w:rPr>
        <w:t>Republic Power Group corporate profile — AI/IoT ERP integration, CEO Ziyang Long, Singapore and Malaysia operations,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Republic Power Group NVT Strategic Partnership and Nasdaq Compliance Issues — PR Newswire, SEC Filings, February-May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and StockAnalysis — RPGL Key Statistics, reverse stock splits, bid price deficiency,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