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RXT</w:t>
      </w:r>
      <w:r>
        <w:rPr>
          <w:rFonts w:ascii="Calibri" w:hAnsi="Calibri"/>
          <w:b/>
          <w:color w:val="1A2010"/>
          <w:sz w:val="40"/>
        </w:rPr>
        <w:t xml:space="preserve">  Rackspace Technology, Inc.</w:t>
      </w:r>
    </w:p>
    <w:p>
      <w:pPr>
        <w:spacing w:after="120"/>
      </w:pPr>
      <w:r>
        <w:rPr>
          <w:rFonts w:ascii="Calibri" w:hAnsi="Calibri"/>
          <w:b/>
          <w:color w:val="6E8450"/>
          <w:sz w:val="18"/>
        </w:rPr>
        <w:t>GROWTH SLEEVE · 2026-08-11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IT Services · NASDAQ · United States</w:t>
      </w:r>
    </w:p>
    <w:p>
      <w:pPr>
        <w:spacing w:after="80"/>
      </w:pPr>
      <w:r>
        <w:rPr>
          <w:rFonts w:ascii="Calibri" w:hAnsi="Calibri"/>
          <w:b w:val="0"/>
          <w:color w:val="3A4A28"/>
          <w:sz w:val="20"/>
        </w:rPr>
        <w:t>Rackspace Technology is a multicloud managed services and IT infrastructure company serving enterprise customers across public cloud, private cloud, and hybrid environments. The company is pivoting toward AI infrastructure, positioning itself as a provider of GPU computing and AI solutions for regulated industries and sovereign markets. Under new CEO Gajen Kandiah (appointed September 2025), Rackspace reported Q2 2026 revenue of $670.1M (+0.6% YoY) with declining Public Cloud revenue (-2.3%) partially offset by Private Cloud growth (+5.5%). The company raised $250M through an at-the-market equity offering for GPU initiatives. Market cap is approximately $1.0B against $3.23B in debt, reflecting the legacy of its Apollo Global Management leveraged buyout.</w:t>
      </w:r>
    </w:p>
    <w:p>
      <w:r>
        <w:rPr>
          <w:rFonts w:ascii="Calibri" w:hAnsi="Calibri"/>
          <w:b/>
          <w:color w:val="6E8450"/>
          <w:sz w:val="18"/>
        </w:rPr>
        <w:t>6,500 Employees · https://www.rackspace.com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Rackspace's core managed hosting and public cloud business has been declining as hyperscalers (AWS, Azure, GCP) disintermediate managed service providers. Q2 2026 Public Cloud revenue fell 2.3% to $406.8M, and full-year 2026 guidance was revised down 7% to $2.45-2.55B [1]. The company has not successfully executed a major product launch or business model transformation in the last 5 years — revenue has contracted from ~$3.0B to ~$2.7B during this period. AI Deployment (1/2): Rackspace is deploying GPU infrastructure for enterprise AI workloads, with a $250M ATM equity offering dedicated to GPU initiatives. The company claims to be building AI infrastructure for regulated industries and sovereign markets, but no specific AI revenue figures or quantified customer deployments were cited in earnings [1]. Market Share (0/2): Rackspace has been consistently losing market share in managed cloud services as enterprises move workloads directly to hyperscalers. The company is not a category leader in any cloud or AI infrastructure segment. Product Pipeline (1/2): The AI-first multicloud strategy under CEO Kandiah represents a genuine strategic shift, with GPU infrastructure and AI solutions for regulated industries identified as growth vectors, though specific product timelines and revenue visibility remain vague [2]. R&amp;D Intensity (0/1): No evidence of above-average R&amp;D spending relative to IT services peers. The company's focus has been on cost restructuring rather than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Rackspace's historical identity centered on 'Fanatical Support' — a customer-centric service philosophy that differentiated it from commodity hosting providers. While clear and once distinctive, this purpose has eroded through multiple ownership transitions (Dell, Apollo Global Management LBO, re-IPO), three CEO changes in four years, and a strategic pivot away from the managed hosting model that made 'Fanatical Support' meaningful [2]. The current AI-first strategy lacks a comparably articulated purpose. Community Impact (0/2): No specific charitable programs, foundation activities, or community investment initiatives were identified in research beyond standard corporate sustainability reporting [3]. Employee Retention (0/2): Rackspace has undergone significant workforce reductions and restructuring under private equity ownership. Multiple CEO transitions (Mark Sharpley interim, Amar Maletira 2022-2025, Gajen Kandiah 2025-present) create organizational instability. New CEO references 'Racker culture' but no retention or tenure data was identified [2]. Insider Buying (0/2): No evidence of meaningful net insider buying. The $250M ATM equity offering is dilutive to existing shareholders, and insider activity data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Rackspace's financial position is severely distressed. The company carries $3.23B in debt against $93.6M cash, with negative stockholders' equity rendering traditional D/E ratios meaningless — effectively at or beyond the 300% floor, scoring 0 [4]. ROE is negative (net loss of $146M TTM), scoring 0. Profit margin is -5.4% ($146M loss on $2.7B revenue), scoring 0. Forward P/E of 694x is far above the 60x floor, scoring 0 [4]. The only positive contributions come from revenue growth YoY of approximately 1% (scoring 0.7 between the -20% floor and 10% target) and 5yr revenue CAGR of approximately -2% (scoring 0.2). PEG ratio is excluded as meaningless with the extreme Forward P/E. The stock passes the liquidity floor with estimated daily trading value above $1M, but the underlying financial structure reflects the severe overhang of the 2016 Apollo LBO.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Rackspace exhibits classic finite-game characteristics. The company has been through a leveraged buyout cycle (Apollo Global Management), re-IPO, three CEO changes in four years, and recurring strategic pivots driven by financial pressure rather than purpose. The $3.23B debt load from the 2016 LBO constrains every strategic decision and forces short-term optimization. The AI pivot, while potentially transformative, is motivated by survival necessity rather than a Just Cause. The company's identity — once built on 'Fanatical Support' — has been hollowed out by financial engineering and leadership instability. Sinek would view this as a company playing to survive this quarter,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Rackspace lacks an articulated Just Cause. The company's historical identity — 'Fanatical Support' — was a genuine differentiator in the managed hosting era but has been eroded by private equity ownership, multiple CEO transitions, declining core revenue, and a strategic pivot away from the service model that made it meaningful [2]. The current strategy ('AI-first multicloud') describes what the company does, not why it exists. No vision of a better future beyond financial recovery has been articulated by leadership. The $250M ATM equity offering and 7% revenue guidance cut in Q2 2026 signal a company managing near-term survival, not pursuing a cause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Rackspace's organizational environment shows hallmarks of low trust. Three CEO changes in four years (Maletira 2022-2025, Kandiah 2025-present, with an interim period) create instability that undermines psychological safety [2]. The Apollo LBO and subsequent restructuring involved significant layoffs and cost cutting. The $250M dilutive equity offering prioritizes growth capital over employee stability. While new CEO Kandiah references the 'Racker culture,' frequent leadership turnover and private equity ownership incentives (financial returns over organizational health) are antithetical to Sinek's Circle of Safety model.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Rackspace's competitive language around hyperscalers (AWS, Azure, GCP) does not demonstrate the worthy rival mindset. The company positions itself as serving niches the hyperscalers cannot (regulated industries, sovereign markets) rather than acknowledging competitors' strengths as motivation for self-improvement [1]. The strategic narrative frames the competitive environment as a threat to be avoided rather than a challenge that drives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managed hosting and public cloud services toward AI infrastructure for regulated industries represents genuine strategic flexibility — the company is entering a substantially different market (GPU computing, enterprise AI) that leverages data center expertise but targets new customers and workloads [1]. The $250M GPU investment is a tangible commitment to the new direction. However, the pivot is driven by necessity (core revenue declining) rather than proactive cause-driven transformation, and the company has not yet abandoned its declining legacy business — it is adding AI on top, not making a clean strategic break.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Rackspace's strategic decisions over the past five years have been reactive to financial pressure rather than proactive long-term investments. The Apollo LBO loaded the company with $3.23B in debt that constrains every strategic decision [4]. The AI pivot and $250M ATM offering are survival moves, not courageous long-term bets made from a position of strength. The 7% downward revision of FY2026 revenue guidance in Q2 while announcing the equity offering demonstrates the company optimizing for near-term financial management rather than building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Rackspace at $4.18 per share represents a high-risk speculative bet on an AI infrastructure pivot by a financially distressed company. Q2 2026 revenue of $670.1M (+0.6% YoY) shows the core managed cloud business stabilizing after years of decline, with Private Cloud growing 5.5% partially offsetting Public Cloud contraction of 2.3% [1]. The $250M GPU infrastructure investment targets a genuine market opportunity in AI computing for regulated industries and sovereign markets where data residency requirements limit hyperscaler adoption. New CEO Gajen Kandiah brings proven enterprise technology scaling experience from Hitachi Digital and Cognizant (grew from $368M to $16B+ revenue) [2]. Management raised FY2026 EBITDA guidance despite the revenue revision, suggesting margin improvement in higher-value AI services.</w:t>
      </w:r>
    </w:p>
    <w:p>
      <w:pPr>
        <w:spacing w:after="120"/>
      </w:pPr>
      <w:r>
        <w:rPr>
          <w:rFonts w:ascii="Calibri" w:hAnsi="Calibri"/>
          <w:b w:val="0"/>
          <w:color w:val="3A4A28"/>
          <w:sz w:val="20"/>
        </w:rPr>
        <w:t>The bear case is severe and multidimensional. The $3.23B debt load from the 2016 Apollo LBO consumes over half of operating cash flow in debt service, leaving minimal capital for the AI transition and creating existential refinancing risk if the pivot fails [4]. FY2026 revenue guidance was cut 7% to $2.45-2.55B, with the company acknowledging a 'strategic shift' that is effectively an admission of core business decline [1]. Forward P/E of 694x reflects near-zero profitability — net losses of $146M TTM on $2.7B revenue demonstrate the company is destroying value, not creating it. The $250M ATM equity offering is dilutive to existing shareholders and insufficient relative to the investment required to compete with hyperscaler AI infrastructure. Three CEO changes in four years (Maletira to Kandiah in September 2025) create strategic discontinuity, and the AI pivot is the fourth strategic repositioning in a decade. The Inspire Impact Score of -49 (MISALIGNED) limits faith-based investor allocation. Rackspace faces a fundamental question: can a leveraged, loss-making managed hosting company successfully pivot to AI infrastructure while competing against AWS, Azure, and GCP with a fraction of their capital? The historical precedent for such turnarounds is poor.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GPU infrastructure buildout from $250M ATM equity offering could generate meaningful AI revenue if Rackspace captures demand from regulated industries and sovereign markets that cannot use hyperscaler public cloud due to data residency and compliance requirements [1]</w:t>
      </w:r>
    </w:p>
    <w:p>
      <w:pPr>
        <w:spacing w:before="40" w:after="40"/>
        <w:ind w:left="283"/>
      </w:pPr>
      <w:r>
        <w:rPr>
          <w:rFonts w:ascii="Calibri" w:hAnsi="Calibri"/>
          <w:b/>
          <w:color w:val="4A6B25"/>
          <w:sz w:val="20"/>
        </w:rPr>
        <w:t xml:space="preserve">2. </w:t>
      </w:r>
      <w:r>
        <w:rPr>
          <w:rFonts w:ascii="Calibri" w:hAnsi="Calibri"/>
          <w:b w:val="0"/>
          <w:color w:val="3A4A28"/>
          <w:sz w:val="20"/>
        </w:rPr>
        <w:t>CEO Gajen Kandiah's proven track record of scaling enterprise technology businesses (Cognizant revenue from $368M to $16B+) could accelerate the AI pivot if he applies similar operational discipline and growth strategies [2]</w:t>
      </w:r>
    </w:p>
    <w:p>
      <w:pPr>
        <w:spacing w:before="40" w:after="40"/>
        <w:ind w:left="283"/>
      </w:pPr>
      <w:r>
        <w:rPr>
          <w:rFonts w:ascii="Calibri" w:hAnsi="Calibri"/>
          <w:b/>
          <w:color w:val="4A6B25"/>
          <w:sz w:val="20"/>
        </w:rPr>
        <w:t xml:space="preserve">3. </w:t>
      </w:r>
      <w:r>
        <w:rPr>
          <w:rFonts w:ascii="Calibri" w:hAnsi="Calibri"/>
          <w:b w:val="0"/>
          <w:color w:val="3A4A28"/>
          <w:sz w:val="20"/>
        </w:rPr>
        <w:t>Private Cloud revenue growth of 5.5% YoY in Q2 2026 suggests demand for dedicated infrastructure is recovering, and AI workloads requiring dedicated GPU clusters could accelerate this trend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$3.23B debt load from the Apollo LBO consumes over half of operating cash flow in debt service, creating existential refinancing risk and severely constraining capital available for the AI infrastructure transition that management has identified as essential for survival [4]</w:t>
      </w:r>
    </w:p>
    <w:p>
      <w:pPr>
        <w:spacing w:before="40" w:after="40"/>
        <w:ind w:left="283"/>
      </w:pPr>
      <w:r>
        <w:rPr>
          <w:rFonts w:ascii="Calibri" w:hAnsi="Calibri"/>
          <w:b/>
          <w:color w:val="4A6B25"/>
          <w:sz w:val="20"/>
        </w:rPr>
        <w:t xml:space="preserve">2. </w:t>
      </w:r>
      <w:r>
        <w:rPr>
          <w:rFonts w:ascii="Calibri" w:hAnsi="Calibri"/>
          <w:b w:val="0"/>
          <w:color w:val="3A4A28"/>
          <w:sz w:val="20"/>
        </w:rPr>
        <w:t>Core managed cloud revenue is in structural decline as hyperscalers (AWS, Azure, GCP) integrate AI-powered automation directly into their platforms, reducing enterprise dependency on managed service providers — Q2 2026 Public Cloud revenue fell 2.3% YoY to $406.8M [1]</w:t>
      </w:r>
    </w:p>
    <w:p>
      <w:pPr>
        <w:spacing w:before="40" w:after="40"/>
        <w:ind w:left="283"/>
      </w:pPr>
      <w:r>
        <w:rPr>
          <w:rFonts w:ascii="Calibri" w:hAnsi="Calibri"/>
          <w:b/>
          <w:color w:val="4A6B25"/>
          <w:sz w:val="20"/>
        </w:rPr>
        <w:t xml:space="preserve">3. </w:t>
      </w:r>
      <w:r>
        <w:rPr>
          <w:rFonts w:ascii="Calibri" w:hAnsi="Calibri"/>
          <w:b w:val="0"/>
          <w:color w:val="3A4A28"/>
          <w:sz w:val="20"/>
        </w:rPr>
        <w:t>The $250M ATM equity offering is dilutive to shareholders and represents less than 1% of what hyperscalers invest annually in AI infrastructure, raising fundamental questions about whether Rackspace can achieve competitive scale in GPU computing against competitors with 100x+ the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Rackspace's core managed cloud services business faces significant AI disruption risk. AI-powered DevOps and cloud management tools (e.g., AWS AI-native services, Microsoft Copilot for Azure) are reducing enterprise dependency on managed service providers by automating provisioning, monitoring, and optimization tasks that were Rackspace's value proposition [1]. Hyperscalers are integrating AI directly into their platforms, further disintermediating managed hosting providers. However, Rackspace is attempting to reposition as an AI infrastructure provider for regulated industries and sovereign markets where data residency and compliance requirements create barriers to hyperscaler adoption — this partially protects the business but the pivot is early-stage and unproven. AI Opportunity (1/1): Rackspace is investing $250M in GPU infrastructure and actively building AI solutions for enterprise customers. The company's Q2 2026 earnings call was titled 'Strategic Shift Towards AI,' and CEO Kandiah's strategic priorities explicitly center on AI infrastructure for regulated industries [1][2]. While specific AI revenue figures were not disclosed, the company is generating early revenue from AI consulting and infrastructure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Rackspace Technology Q2 2026 Earnings — Revenue $670.1M (+0.6% YoY), FY2026 Guidance Revised to $2.45-2.55B (-7%), $250M ATM GPU Offering, Strategic AI Shift — GuruFocus,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Rackspace Technology CEO Appointment — Gajen Kandiah Named CEO September 2025, AI-First Multicloud Strategy, Cognizant/Hitachi Digital Background — Rackspace IR, SDxCentral, San Antonio Report, 2025-2026</w:t>
      </w:r>
    </w:p>
    <w:p>
      <w:pPr>
        <w:spacing w:before="20" w:after="20"/>
        <w:ind w:left="170"/>
      </w:pPr>
      <w:r>
        <w:rPr>
          <w:rFonts w:ascii="Calibri" w:hAnsi="Calibri"/>
          <w:b/>
          <w:color w:val="4A6B25"/>
          <w:sz w:val="15"/>
        </w:rPr>
        <w:t xml:space="preserve">3. </w:t>
      </w:r>
      <w:r>
        <w:rPr>
          <w:rFonts w:ascii="Calibri" w:hAnsi="Calibri"/>
          <w:b w:val="0"/>
          <w:color w:val="3A4A28"/>
          <w:sz w:val="17"/>
        </w:rPr>
        <w:t>Rackspace Technology ESG Profile — Corporate Responsibility Report, SustainableIT Impact Awards, Environmental Leadership Programs — Rackspace.com, CSRHub,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SimplyWallSt — RXT Key Statistics: Forward P/E 694x, Market Cap $1.0B, Debt $3.23B, Cash $93.6M, Net Loss $146M TTM,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