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SAN</w:t>
      </w:r>
      <w:r>
        <w:rPr>
          <w:rFonts w:ascii="Calibri" w:hAnsi="Calibri"/>
          <w:b/>
          <w:color w:val="1A2010"/>
          <w:sz w:val="40"/>
        </w:rPr>
        <w:t xml:space="preserve">  Banco Santander, S.A.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2026-08-16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Diversified · NYSE · Spain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Banco Santander is a Madrid-based global bank serving 182 million customers across Europe, the Americas, and the UK, with a market capitalization of approximately €178 billion. Under Executive Chair Ana Botín (since 2014), the bank delivered a record H1 2026 (underlying profit up 14% YoY to €7.3B, revenue up 6%, RoTE of 15.6%) driven by the 'ONE Transformation' initiative that scales common technology platforms globally and the integration of the TSB UK acquisition [1]. Botín's 2026-28 strategic plan is anchored in data and AI, targeting more than €1 billion in combined benefit — roughly €300M in incremental annual revenue and €700M in cost reduction by 2028 [2].</w:t>
      </w:r>
    </w:p>
    <w:p>
      <w:r>
        <w:rPr>
          <w:rFonts w:ascii="Calibri" w:hAnsi="Calibri"/>
          <w:b/>
          <w:color w:val="6E8450"/>
          <w:sz w:val="18"/>
        </w:rPr>
        <w:t>185,000 Employees · https://www.santander.com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Santander has executed a sustained multi-year digital and platform transformation under Botín — the 'ONE Transformation' program scaling common technology platforms across global businesses, plus the TSB UK acquisition integration — delivering four consecutive years of record profits, a significant institutional evolution though not a single transformative pivot [1][2]. AI Deployment (2/2): Botín's 2026-28 strategic plan quantifies AI's expected contribution at over €1 billion combined benefit, split between approximately €300 million in incremental annual revenue and €700 million in cost reduction by 2028 — specific, management-disclosed figures rather than vague AI aspiration [2]. Market Share (2/2): Santander serves 182 million customers globally and added 12 million net new customers in H1 2026 alone, a scale and growth rate that places it among the largest retail banking franchises in the world with specific supporting data [1]. Product Pipeline (2/2): The AI/data strategic plan has a named 2028 target date with quantified revenue and cost figures, giving specific pipeline visibility beyond vague 'exploring AI' language. R&amp;D Intensity (0/1): No R&amp;D-as-percent-of-revenue disclosure distinct from general technology/transformation spend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Grupo Santander's purpose — 'to help people and businesses prosper' — has been consistently articulated since at least the bank's 2015 sustainability reporting and remains the stated anchor of the current strategic plan, but the language itself is fairly generic banking-sector phrasing, identifying who the bank serves without a deeply distinctive differentiator [1][2]. Community Impact (2/2): Santander Universidades, the bank's decades-long global education and scholarship initiative, represents a distinctive, large-scale, sustained community investment program tied directly to the stated purpose, going well beyond generic corporate philanthropy. Employee Retention (0/2): With 185,000 employees globally, no specific tenure or voluntary turnover data was found in available research. Insider Buying (0/2): No parent-company (Banco Santander S.A.) insider buying or selling transaction data was identified in available research; absent evidence of meaningful net buying, this item scores 0 by the framework's rules.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as a dividend payer. Forward P/E of 11.09 and profit margin of 26.6% (Q2 2026) both clear their targets comfortably (score 1.0 each). ROE of 12.89% (score 0.86) and revenue growth (YoY ~6%, score 0.87; estimated 5yr CAGR ~5%, score 0.67) fall modestly short of the 15%/10% targets typical of a mature global bank. D/E of approximately 318% sits just above the 300% floor and scores 0.0, reflecting the leveraged balance sheet structure inherent to universal banking. On dividend quality, payout ratio of ~22% is well under the 40% target (score 1.0), and an estimated 5 consecutive years of dividend payments and growth since the 2020 ECB-mandated pandemic dividend suspension (both scoring 0.5 against the 10-year target) are offset by a strong estimated 5-year dividend growth CAGR of ~14% (capped at 1.0, 2x weight), consistent with the 14% dividend increase approved at the March 2026 AGM [1]. Average daily volume of ~7.88M shares at $14.71 (~$116M/day) clears the liquidity floor with wide headroom.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Santander's purpose — 'to help people and businesses prosper' — has been consistently articulated for over a decade under Executive Chair Ana Botín and anchors both the Santander Universidades education program and the current AI-led strategic plan, giving it more staying power than a typical mission statement. However, the bank has drawn sustained climate-policy criticism for diluting fossil-fuel financing commitments even as it raised billions for gas projects, a gap between stated purpose and lived practice that, combined with thin evidence of costly principled leadership decisions, keeps Santander in the MIXED category rather than INFINITE.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The 'help people and businesses prosper' purpose has been referenced consistently since at least 2015 and continues to frame the bank's current strategic plan and its decades-long Santander Universidades education initiative, giving it more depth than typical bank mission language [1][2]. However, criticism that Santander weakened its fossil-fuel financing policy after raising billions of dollars for gas projects, and diluted financed-emissions targets under climate-activist scrutiny in 2025-2026, represents a direct tension between the stated purpose and lived business practice, capping the score below the top tier.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Twelve years of leadership continuity under Executive Chair Ana Botín and four consecutive years of record profits suggest organizational stability across a 185,000-employee global workforce, but no specific tenure, turnover, or psychological-safety data was found to support a higher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was found framing competing global banks as sources of learning or improvement; available strategic commentary focuses on internal transformation targets (ONE Transformation, AI plan) rather than an explicit competitive philosophy.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'ONE Transformation' program to scale common technology platforms across Santander's global businesses, combined with the TSB acquisition and a decade-long digital transformation push since 2014, represents meaningful adaptation of the banking model, but this is incremental modernization of an already-established universal banking franchise rather than a transformative reinvention or abandonment of a core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multi-year TSB UK acquisition integration and the 2026-28 AI/data strategic plan (committing capital toward a 2028 payoff of €300M revenue and €700M cost savings) represent real long-term bets absorbing near-term integration costs, but available evidence does not show leadership walking away from profitable-but-misaligned business (e.g., continued gas-project financing despite climate criticism suggests the opposite pattern in at least one area) [1][2][3].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Banco Santander is executing from a position of strength — a record H1 2026 (underlying profit +14% YoY to €7.3B, RoTE 15.6%, underlying EPS +20%), 182 million customers with 12 million net adds in six months, and a quantified 2026-28 AI strategy targeting over €1 billion in combined revenue and cost benefit [1][2]. Valuation remains modest (10.85x trailing / 11.09x forward P/E) relative to the growth and profitability trajectory, and the dividend (2.53% yield, ~22% payout ratio, 14% growth approved at the 2026 AGM) is well covered with room to keep growing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leverage and ESG credibility: D/E of approximately 318% breaches the 300% floor used in this framework, reflecting the balance sheet leverage inherent to a globally systemic bank, and Santander has faced sustained climate-activist criticism for diluting fossil-fuel financing commitments after raising billions for gas projects — a genuine tension with its decade-long 'help people and businesses prosper' purpose [3]. No parent-company insider buying activity was identified to signal management conviction, and the mission statement itself, while more durable than most, remains fairly generic banking-sector language. SAN screens as a well-run, reasonably priced global bank executing a credible AI-driven efficiency plan, appropriate for a HOLD pending clearer evidence the AI investment converts into the targeted €1B+ benefit by 2028 and clarity on the bank's climate-financing commitments.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Execution of the 2026-28 AI/data strategic plan toward its targeted €300M incremental revenue and €700M cost reduction by 2028, which would directly improve Infrastructure metrics (profit margin, ROE) over the plan horizon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customer growth momentum (12 million net adds in H1 2026 alone) sustaining fee income and net interest income growth (+9% and +7% respectively in H1 2026)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Further dividend growth following the 14% increase approved at the March 2026 AGM, supported by a payout ratio of only ~22% of earnings, leaving substantial room for continued increases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D/E of approximately 318% exceeds the 300% floor in this framework, reflecting the leverage structure inherent to a globally systemic bank and creating sensitivity to funding costs, credit cycles, and regulatory capital requirements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Sustained climate-activist and investor criticism that Santander diluted its fossil-fuel financing policy after raising billions for gas projects creates reputational and regulatory ESG overhang that sits in tension with the bank's stated purpose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No parent-company insider buying activity was identified in available research, leaving no clear signal of direct management conviction beyond stated strategic targets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Santander's core deposit-taking, lending, and payments franchise is protected by banking licenses, regulatory capital requirements, and deep customer relationship switching costs that AI cannot directly displace, and management explicitly frames AI as a growth and efficiency enabler rather than a threat — Botín has stated 'AI is everywhere at Santander' in the context of the bank's own strategic deployment of the technology [2]. Some back-office and customer service functions face automation exposure (part of the targeted €700M cost reduction), but the core banking franchise itself is structurally defensible. AI Opportunity (1/1): The 2026-28 strategic plan quantifies approximately €300 million in incremental annual AI-driven revenue by 2028, a specific, disclosed, forward-looking AI revenue contribution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Banco Santander H1/Q2 2026 Results — Underlying profit €7.3B (+14% YoY), revenue +6%, RoTE 15.6%, underlying EPS +20%, 182M customers (+12M in H1) — santander.com press releases, April-July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Bloomberg, PYMNTS, CNBC — Ana Botín 2026-28 AI/data strategic plan (€1B+ combined benefit: ~€300M revenue growth, ~€700M cost reduction by 2028), ONE Transformation initiative, February-October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OneStopESG, The Bureau of Investigative Journalism — Santander climate scrutiny over diluted fossil-fuel financing policy and financed-emissions targets despite billions raised for gas projects,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Santander.com — Grupo Santander purpose statement ('help people and businesses prosper'), Santander Universidades education initiative, Our Approach / sustainability reporting,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StockAnalysis.com, MacroTrends, TradingEconomics — SAN (ADR) Key Statistics: stock price $14.71, P/E 10.85, Forward P/E 11.09, D/E ~318%, ROE 12.89%, dividend yield 2.53%, average daily volume ~7.88M shares,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