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SBUX</w:t>
      </w:r>
      <w:r>
        <w:rPr>
          <w:rFonts w:ascii="Calibri" w:hAnsi="Calibri"/>
          <w:b/>
          <w:color w:val="1A2010"/>
          <w:sz w:val="40"/>
        </w:rPr>
        <w:t xml:space="preserve">  Starbucks Corporation</w:t>
      </w:r>
    </w:p>
    <w:p>
      <w:pPr>
        <w:spacing w:after="120"/>
      </w:pPr>
      <w:r>
        <w:rPr>
          <w:rFonts w:ascii="Calibri" w:hAnsi="Calibri"/>
          <w:b/>
          <w:color w:val="6E8450"/>
          <w:sz w:val="18"/>
        </w:rPr>
        <w:t>DIVIDEND SLEEVE · 2026-08-18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Starbucks Corporation is the world's largest specialty coffee roaster, marketer, and retailer, operating over 38,000 coffeehouses globally across company-operated and licensed stores in more than 80 markets. Under CEO Brian Niccol's 'Back to Starbucks' turnaround, Q3 FY2026 comps rose 7.9% and adjusted EPS guidance was raised to $2.55-$2.65. Boyu Capital closed its deal for a 60% majority stake in the Starbucks China JV, restructuring the company's second-largest market.</w:t>
      </w:r>
    </w:p>
    <w:p>
      <w:r>
        <w:rPr>
          <w:rFonts w:ascii="Calibri" w:hAnsi="Calibri"/>
          <w:b/>
          <w:color w:val="6E8450"/>
          <w:sz w:val="18"/>
        </w:rPr>
        <w:t>381,000 Employees · https://www.starbucks.com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Brian Niccol's 'Back to Starbucks' turnaround is delivering accelerating results — Q3 FY2026 comps rose 7.9% (up from Q2's 6.2% and Q1's 4%), Q2 revenue surged 9% YoY to $9.53B beating consensus by $370M, and FY2026 adjusted EPS guidance was raised to $2.55-$2.65 from $2.25-$2.45 [1][2]. The China JV with Boyu Capital closed, restructuring the second-largest market and unlocking capital reallocation. Record 35.5M Rewards members demonstrate digital engagement momentum. AI Deployment (2/2): Starbucks deployed Green Dot Assist, an AI virtual assistant, across all North American stores providing real-time guidance to baristas on drink preparation and operations [3]. CEO Niccol stated 'AI will allow us to ramp up our personalization' and positioned AI as 'co-pilot, not replacement' for workers [3]. Smart Q AI optimizes order sequencing for sub-4-minute delivery. However, the AI Automated Counting system was retired after it 'frequently miscounted and mislabeled items,' demonstrating that not all AI deployments succeed [4]. Market Share (2/2): Starbucks is the undisputed global leader in specialty coffee with 38,000+ locations, record Rewards membership, and massive mobile ordering penetration that competitors cannot match at scale [1][2]. Pipeline (0/2): Menu simplification and store renovation are the current strategic focus under Niccol, who is deliberately reducing SKU complexity rather than launching next-generation products. Artisanal pastries, protein drinks, and voice app ordering are mentioned as upcoming additions but without specific timelines or revenue visibility [3]. R&amp;D Intensity (1/1): Technology and innovation spending is above the restaurant industry average, with AI, digital infrastructure, and store format investments accelerating under Niccol's leadership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Starbucks' 'third place' vision — nurturing the limitless possibilities of human connection through coffee in warm, welcoming spaces — is deeply embedded in the company's DNA and has been reinvigorated by Niccol's return to craft and hospitality over manufacturing efficiency [3]. Starbucks was named one of Fast Company's Most Innovative Companies in 2026 for 'reinvesting in hospitality' [3]. The mission is aspirational, specific, and widely understood, though decades of rapid expansion diluted execution before Niccol's correction. Community Impact (1/2): Starbucks invested upward of $600M toward putting more workers ('partners') back in stores, offers healthcare benefits for part-time workers, maintains ethical sourcing programs, and has environmental commitments including carbon emissions reduction and renewable energy use [3][5]. The company created an Environmental, Partner and Community Impact board committee to strengthen ESG governance [5]. Employee Retention (1/2): Ongoing labor union organizing across hundreds of stores — with allegations of violating federal labor laws — reflects significant frontline trust deficits that predate Niccol [5]. However, the $600M partner investment, improved staffing levels, and Niccol's explicit prioritization of the human experience over automation suggest genuine intent to rebuild the relationship with the 381,000-person workforce. Insider Buying (0/2): No evidence of meaningful net insider buying by executives was found. CEO Niccol's substantial equity-aligned compensation package demonstrates alignment, but the rubric requires actual purchasing data, which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Starbucks' dividend credentials are strong with 16 consecutive years paid, 14 consecutive years of growth, and an estimated 5-year dividend growth CAGR of approximately 8%, all scoring at or near maximum with enhanced weighting [6]. The 5-year revenue CAGR of 9.6% nearly meets the 10% target, and ROE is excluded due to Starbucks' negative shareholders' equity (-$8.47B) resulting from decades of aggressive share buybacks — a capital allocation choice, not a financial weakness, for a company generating $38.5B in annual revenue [6]. Forward P/E of 39.52x scores 0.51 on the linear scale, elevated but reflecting turnaround recovery potential with raised EPS guidance of $2.55-$2.65 [1][6]. The primary drags are profit margin of 3.89% (heavily depressed by restructuring and China JV charges, versus the historical 10-15% range) and payout ratio of ~190% on trailing GAAP earnings, which is unsustainable but normalizes to ~95% on the forward EPS guidance [6]. FY2026 revenue is guided flat to slight growth due to China JV deconsolidation, despite 7.9% comparable store sales growth [2]. Liquidity clears the floor at ~$734M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Starbucks' 'Back to Starbucks' transformation under Niccol represents a return to infinite-game thinking — prioritizing craft, community, and partner experience over the efficiency-first approach that had degraded the brand under prior leadership. The reinvigoration of the 'third place' vision and willingness to accept near-term restructuring charges for long-term brand equity show genuine long-term orientation. However, ongoing union disputes reveal finite-game tensions in how the company treats its workforce, and the temporary abandonment of the Just Cause under prior leadership shows the vision is not yet deeply institutionalized beyond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'third place' vision of creating human connection through coffee is authentic, widely understood, and has guided Starbucks for 55 years since its 1971 founding [3]. Niccol's explicit statement that the company had 'run like a manufacturing facility' and his recommitment to craft and experience represents a genuine return to purpose over efficiency. The board specifically hired Niccol to restore this vision, demonstrating institutional commitment. However, the fact that the cause was temporarily abandoned during the Narasimhan era — requiring a new CEO to rescue it — shows it has not been so deeply institutionalized that it sustains through all leadership transitions. The cause is genuine and partially lived, but not yet validated as the kind of unassailable competitive advantage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Niccol's investments in more baristas per store ($600M in partner investment), improved working conditions, and the return to hospitality-focused culture show institutional commitment to rebuilding trust [3]. However, labor union organizing across hundreds of stores — with allegations of federal labor law violations — reveals deep frontline trust deficits that predate Niccol and persist despite his investments [5]. The 381,000-employee workforce is too large and geographically dispersed for culture to be uniformly strong, and the unionization movement specifically indicates that a meaningful portion of partners do not feel the 'Circle of Safety' that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Starbucks acknowledges and learns from competitive dynamics rather than dismissing them. In the U.S., Dutch Bros and specialty third-wave coffee shops push quality differentiation; in China, Luckin Coffee's 20,000+ stores forced the strategic JV restructuring with Boyu Capital [1]. Niccol's response has been to compete on experience quality and hospitality rather than price or convenience speed, demonstrating a learn-and-improve mindset that uses competitive pressure to refine the offering.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China JV with Boyu Capital at $4B enterprise value — now closed with Boyu holding 60% — demonstrates willingness to restructure the company's second-largest market rather than cling to a declining competitive position [1][2]. Niccol's complete strategic reversal from the efficiency-first approach to experience-first shows organizational flexibility. However, the core business model — premium coffee retail in branded stores — has remained fundamentally unchanged for 55 years. The strategic shifts are meaningful course corrections and market restructurings, not transformative reinventions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Niccol showed courage in publicly admitting Starbucks had drifted from its purpose, reversing years of efficiency-first strategy, investing $600M in barista staffing despite near-term margin compression, and raising FY2026 EPS guidance to $2.55-$2.65 on the strength of the turnaround [1][3]. The decision to sell 60% of China to Boyu Capital rather than continue competing against Luckin's subsidized expansion reflects strategic discipline. However, the aggressive CEO compensation package and continued share buybacks with negative equity raise questions about whether capital allocation is fully aligned with the infinite-game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Starbucks under Brian Niccol is executing the most promising turnaround in the restaurant industry — Q3 FY2026 comps accelerated to 7.9% (from Q2's 6.2% and Q1's 4%), and management raised FY2026 adjusted EPS guidance to $2.55-$2.65 from the prior $2.25-$2.45, signaling growing confidence [1][2]. The 'Back to Starbucks' strategy has driven Q2 revenue to $9.53B (+9% YoY) with net income up 33%, and record 35.5M Rewards members demonstrate digital engagement momentum [1]. Green Dot Assist AI is deployed across all North American stores, enhancing operational efficiency while preserving the human touch [3]. Non-GAAP operating margin improved to 14.4% in Q3, moving toward historical levels and representing massive EPS upside as the turnaround matures [2]. The China JV with Boyu Capital (now closed) simplifies the geographic story and unlocks capital reallocation. The 2.66% dividend yield with 14 consecutive years of growth and 38,000+ global store footprint provide a compounding foundation few restaurant companies can match [6].</w:t>
      </w:r>
    </w:p>
    <w:p>
      <w:pPr>
        <w:spacing w:after="120"/>
      </w:pPr>
      <w:r>
        <w:rPr>
          <w:rFonts w:ascii="Calibri" w:hAnsi="Calibri"/>
          <w:b w:val="0"/>
          <w:color w:val="3A4A28"/>
          <w:sz w:val="20"/>
        </w:rPr>
        <w:t>The bear case centers on elevated valuation and margin recovery uncertainty. Forward P/E of 39.52x and PEG of 2.01 price in substantial earnings recovery that may prove slower than expected — the stock is trading at 80x trailing GAAP earnings of $1.31, reflecting how far current GAAP profitability is from normal [6]. Reported revenue is guided flat to slight growth for FY2026 due to China JV deconsolidation, masking the underlying 7.9% comp growth. Profit margin of 3.89% remains less than one-quarter of the historical 15%+ level, and the trailing payout ratio of ~190% is unsustainable without significant GAAP EPS improvement — though the raised guidance of $2.55-$2.65 adjusted EPS normalizes this to ~95% [6]. D/E is incalculable due to negative equity (-$8.47B) from aggressive buybacks, masking $24.4B in total debt that requires servicing [6]. Ongoing union organizing across hundreds of stores with allegations of federal labor law violations creates reputational and labor cost risk [5]. The retirement of AI Automated Counting after it 'frequently miscounted' items shows that not all of Niccol's technology bets will pay off [4]. The Inspire Insight score of -67 (MISALIGNED) limits faith-based investor allocation despite 17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comp trajectory — Q3 FY2026 comps of 7.9% (from Q1's 4%) with raised full-year guidance to 6%+ comps and $2.55-$2.65 adjusted EPS demonstrates the 'Back to Starbucks' turnaround is gaining momentum toward restoring historical 15%+ operating margins [1][2]</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 improvement to 14.4% in Q3 FY2026 with $600M partner investment beginning to drive traffic and ticket growth — margin normalization toward historical levels represents the largest earnings upside lever [2][3]</w:t>
      </w:r>
    </w:p>
    <w:p>
      <w:pPr>
        <w:spacing w:before="40" w:after="40"/>
        <w:ind w:left="283"/>
      </w:pPr>
      <w:r>
        <w:rPr>
          <w:rFonts w:ascii="Calibri" w:hAnsi="Calibri"/>
          <w:b/>
          <w:color w:val="4A6B25"/>
          <w:sz w:val="20"/>
        </w:rPr>
        <w:t xml:space="preserve">3. </w:t>
      </w:r>
      <w:r>
        <w:rPr>
          <w:rFonts w:ascii="Calibri" w:hAnsi="Calibri"/>
          <w:b w:val="0"/>
          <w:color w:val="3A4A28"/>
          <w:sz w:val="20"/>
        </w:rPr>
        <w:t>China JV closing with Boyu Capital simplifies the geographic story, unlocks capital reallocation, and removes the competitive overhang of Luckin Coffee's subsidized expansion in the Chinese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39.52x and trailing PE of 80x price in substantial recovery — GAAP profit margin of 3.89% and trailing payout ratio of ~190% remain far below sustainable levels, and any deceleration from the current comp trajectory could trigger meaningful multiple compression [6]</w:t>
      </w:r>
    </w:p>
    <w:p>
      <w:pPr>
        <w:spacing w:before="40" w:after="40"/>
        <w:ind w:left="283"/>
      </w:pPr>
      <w:r>
        <w:rPr>
          <w:rFonts w:ascii="Calibri" w:hAnsi="Calibri"/>
          <w:b/>
          <w:color w:val="4A6B25"/>
          <w:sz w:val="20"/>
        </w:rPr>
        <w:t xml:space="preserve">2. </w:t>
      </w:r>
      <w:r>
        <w:rPr>
          <w:rFonts w:ascii="Calibri" w:hAnsi="Calibri"/>
          <w:b w:val="0"/>
          <w:color w:val="3A4A28"/>
          <w:sz w:val="20"/>
        </w:rPr>
        <w:t>Ongoing labor union organizing across hundreds of stores with allegations of federal labor law violations creates reputational risk and potential labor cost inflation that constrains the margin recovery needed to justify the premium valuation [5]</w:t>
      </w:r>
    </w:p>
    <w:p>
      <w:pPr>
        <w:spacing w:before="40" w:after="40"/>
        <w:ind w:left="283"/>
      </w:pPr>
      <w:r>
        <w:rPr>
          <w:rFonts w:ascii="Calibri" w:hAnsi="Calibri"/>
          <w:b/>
          <w:color w:val="4A6B25"/>
          <w:sz w:val="20"/>
        </w:rPr>
        <w:t xml:space="preserve">3. </w:t>
      </w:r>
      <w:r>
        <w:rPr>
          <w:rFonts w:ascii="Calibri" w:hAnsi="Calibri"/>
          <w:b w:val="0"/>
          <w:color w:val="3A4A28"/>
          <w:sz w:val="20"/>
        </w:rPr>
        <w:t>Flat to slight growth in reported FY2026 revenue due to China JV deconsolidation, combined with $24.4B total debt against negative equity (-$8.47B), creates leverage risk if the operating turnaround stalls or consumer spending weakens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Starbucks' core value proposition — the human coffeehouse experience, barista craft, and community 'third place' — is inherently resistant to AI disruption [3]. Physical store operations, food and beverage preparation, and the social experience cannot be digitized or automated away. The 381,000-person workforce operates in physical locations requiring human interaction, creativity, and hospitality. CEO Niccol explicitly frames AI as a 'co-pilot, not replacement' for workers, maintaining the human-centered brand identity [3]. While AI-powered automated kiosks could theoretically commoditize the convenience-driven portion of the business, no scaled competitor has demonstrated the ability to replicate the Starbucks experience through automation. The retirement of the AI Automated Counting system shows the company's willingness to abandon AI tools that don't enhance the human experience [4]. AI Opportunity (1/1): Green Dot Assist (real-time AI barista companion across all North American stores), Smart Q order sequencing, and AI-personalized mobile ordering demonstrate comprehensive AI deployment that enhances both operations and customer experience [3]. The AI personalization engine, integrated with 35.5M+ Rewards members, creates a meaningful competitive moat in customer engagement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Starbucks Q2 FY2026 Earnings Release — $9.53B revenue (+9%), 6.2% global comps (U.S. +7.1%), $510.9M net income (+33%), raised FY2026 guidance to $2.55-$2.65 EPS, April 2026</w:t>
      </w:r>
    </w:p>
    <w:p>
      <w:pPr>
        <w:spacing w:before="20" w:after="20"/>
        <w:ind w:left="170"/>
      </w:pPr>
      <w:r>
        <w:rPr>
          <w:rFonts w:ascii="Calibri" w:hAnsi="Calibri"/>
          <w:b/>
          <w:color w:val="4A6B25"/>
          <w:sz w:val="15"/>
        </w:rPr>
        <w:t xml:space="preserve">2. </w:t>
      </w:r>
      <w:r>
        <w:rPr>
          <w:rFonts w:ascii="Calibri" w:hAnsi="Calibri"/>
          <w:b w:val="0"/>
          <w:color w:val="3A4A28"/>
          <w:sz w:val="17"/>
        </w:rPr>
        <w:t>Starbucks Q3 FY2026 Earnings Release — $9.3B revenue (-1% reported), 7.9% comps, non-GAAP EPS $0.85, non-GAAP margin 14.4%, Boyu China JV closed, CNBC, July 2026</w:t>
      </w:r>
    </w:p>
    <w:p>
      <w:pPr>
        <w:spacing w:before="20" w:after="20"/>
        <w:ind w:left="170"/>
      </w:pPr>
      <w:r>
        <w:rPr>
          <w:rFonts w:ascii="Calibri" w:hAnsi="Calibri"/>
          <w:b/>
          <w:color w:val="4A6B25"/>
          <w:sz w:val="15"/>
        </w:rPr>
        <w:t xml:space="preserve">3. </w:t>
      </w:r>
      <w:r>
        <w:rPr>
          <w:rFonts w:ascii="Calibri" w:hAnsi="Calibri"/>
          <w:b w:val="0"/>
          <w:color w:val="3A4A28"/>
          <w:sz w:val="17"/>
        </w:rPr>
        <w:t>Starbucks Leadership and AI Innovation — CEO Brian Niccol 'Back to Starbucks' plan, Green Dot Assist AI deployment, $600M partner investment, Fast Company Most Innovative, CNBC, Fox Business, 2025-2026</w:t>
      </w:r>
    </w:p>
    <w:p>
      <w:pPr>
        <w:spacing w:before="20" w:after="20"/>
        <w:ind w:left="170"/>
      </w:pPr>
      <w:r>
        <w:rPr>
          <w:rFonts w:ascii="Calibri" w:hAnsi="Calibri"/>
          <w:b/>
          <w:color w:val="4A6B25"/>
          <w:sz w:val="15"/>
        </w:rPr>
        <w:t xml:space="preserve">4. </w:t>
      </w:r>
      <w:r>
        <w:rPr>
          <w:rFonts w:ascii="Calibri" w:hAnsi="Calibri"/>
          <w:b w:val="0"/>
          <w:color w:val="3A4A28"/>
          <w:sz w:val="17"/>
        </w:rPr>
        <w:t>Starbucks AI Technology — Automated Counting retired after miscounting failures, Green Dot Assist and Smart Q operational AI, Motley Fool, Constellation Research, May 2026</w:t>
      </w:r>
    </w:p>
    <w:p>
      <w:pPr>
        <w:spacing w:before="20" w:after="20"/>
        <w:ind w:left="170"/>
      </w:pPr>
      <w:r>
        <w:rPr>
          <w:rFonts w:ascii="Calibri" w:hAnsi="Calibri"/>
          <w:b/>
          <w:color w:val="4A6B25"/>
          <w:sz w:val="15"/>
        </w:rPr>
        <w:t xml:space="preserve">5. </w:t>
      </w:r>
      <w:r>
        <w:rPr>
          <w:rFonts w:ascii="Calibri" w:hAnsi="Calibri"/>
          <w:b w:val="0"/>
          <w:color w:val="3A4A28"/>
          <w:sz w:val="17"/>
        </w:rPr>
        <w:t>Starbucks ESG and Labor — Union organizing, federal labor law allegations, ESG governance committee, environmental commitments, Sustainalytics, ESG Dive, 2023-2026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GuruFocus — SBUX Key Statistics: Forward P/E 39.52x, PEG 2.01, Profit Margin 3.89%, Dividend Yield 2.66%, Stock Price $104.81, Debt $24.4B,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