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SDGR</w:t>
      </w:r>
      <w:r>
        <w:rPr>
          <w:rFonts w:ascii="Calibri" w:hAnsi="Calibri"/>
          <w:b/>
          <w:color w:val="1A2010"/>
          <w:sz w:val="40"/>
        </w:rPr>
        <w:t xml:space="preserve">  Schrodinger, Inc.</w:t>
      </w:r>
    </w:p>
    <w:p>
      <w:pPr>
        <w:spacing w:after="120"/>
      </w:pPr>
      <w:r>
        <w:rPr>
          <w:rFonts w:ascii="Calibri" w:hAnsi="Calibri"/>
          <w:b/>
          <w:color w:val="6E8450"/>
          <w:sz w:val="18"/>
        </w:rPr>
        <w:t>GROWTH SLEEVE · 2026-08-02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Schrodinger, Inc. develops a physics-based computational platform that enables discovery of novel molecules for drug development and materials applications. Operating through Software and Drug Discovery segments, the company sells simulation software to all top 20 pharmaceutical companies and maintains a proprietary pipeline of clinical-stage drug candidates. Founded in 1990, the company combines physics-based modeling with AI to evaluate millions of molecular candidates, and is headquartered in New York, New York.</w:t>
      </w:r>
    </w:p>
    <w:p>
      <w:r>
        <w:rPr>
          <w:rFonts w:ascii="Calibri" w:hAnsi="Calibri"/>
          <w:b/>
          <w:color w:val="6E8450"/>
          <w:sz w:val="18"/>
        </w:rPr>
        <w:t>850 Employees · https://www.schrodinger.com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Schrodinger has evolved from niche computational chemistry software into a dual-model company with a leading platform and proprietary drug discovery pipeline. The transition to a hosted software licensing model in 2025-2026 represents a significant business model transformation, while drug discovery revenue more than doubled in Q1 2026 to $22.9M driven by collaboration portfolio progress [1]. Partnership validation through Nimbus/Takeda ($6B deal) confirms platform capability. AI Deployment (2/2): Launched Bunsen, an agentic AI co-scientist for molecular discovery that combines AI with physics-based simulation to help researchers develop computational strategies, execute workflows, and interpret results [4]. The entire platform integrates AI with physics-based modeling — this is production-scale AI deployment serving all top 20 pharma companies. Market Share (1/2): Dominant leader in physics-based computational drug discovery — all top 20 pharmaceutical companies are customers [3]. NVIDIA's Jensen Huang reportedly told Schrodinger to 'think bigger,' underscoring perceived platform leadership. However, newer AI-native competitors are emerging. Product Pipeline (1/2): SGR-1505 (MALT-1 inhibitor) and SGR-3515 (Wee1/Myt1 inhibitor) in Phase 1 trials. Software ACV guidance of $218-228M for 2026 (10-15% growth). Drug discovery revenue guidance $55-65M [1]. Strategic partnerships with Eli Lilly and Manas AI extend reach. R&amp;D Intensity (1/1): 58% of employees hold PhDs; R&amp;D investment spans both software platform and clinical programs, far exceeding industry norms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Schrodinger's mission to 'transform the way therapeutics and materials are discovered' through physics-based computation is specific, thoughtful, and reflects genuine intentionality dating to the 1990 founding [3]. CEO Ramy Farid's consistent position that 'AI drug discovery won't work unless physics-based calculations are part of the picture' demonstrates deeply held scientific conviction that shapes every strategic decision. This is closer to a Just Cause than a marketing statement. Community Impact (0/2): No evidence of significant charitable programs or community investment beyond standard corporate practices. The company published a Corporate Sustainability Report but without distinctive philanthropic initiatives [3]. Employee Retention (0/2): The 58% PhD workforce suggests mission-driven culture, and CEO Farid has led the company since its founding era, providing exceptional leadership continuity. However, no specific retention metrics, turnover data, or employee tenure statistics are publicly available. Insider Buying (0/2): No evidence of significant net insider buying by executives in the last 12 months was identified. CEO Farid and the founding team maintain equity stakes but no proactive open-market purchases were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30.0% is very conservative with $395M cash against $109M debt, scoring 1.0 [5]. ROE of -26.3% is negative (scores 0.0, 2x weight) reflecting sustained investment in clinical programs. Revenue growth YoY of approximately 10.6% (Q2 2026 basis) exceeds the 10% target [1]. 5-year revenue CAGR of 17.45% is strong at 1.0 (2x weight), reflecting growth from $111M in 2020 to $256M in 2025 [5]. Profit margin of -40.0% scores 0.0, reflecting ongoing clinical-stage investment with management targeting positive adjusted EBITDA by end of 2028. Forward P/E and PEG excluded as meaningless for an unprofitable company. Infrastructure calculated on available metrics: weighted sum 4.0 / max 7.0 = 5.7, rounds to 6. Liquidity floor cleared: 1.34M avg volume x $20.00 = $26.8M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Schrodinger demonstrates strong infinite game characteristics rooted in CEO Ramy Farid's three-decade commitment to physics-based computational drug discovery. The founding conviction that physics and computation can transform molecular discovery has been held consistently since 1990 and is now being validated by universal pharma adoption and the Bunsen AI launch. The willingness to invest in unprofitable drug discovery programs reflects genuine courage. However, the company's small scale and unproven clinical pipeline mean full Just Cause validation remains ahead.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Schrodinger's cause — transforming drug discovery through physics-based computation — is genuine, specific, and has been pursued consistently for 36 years since the 1990 founding [3]. CEO Farid's public stance that physics must underpin AI drug discovery is a deeply held scientific conviction, not marketing. The Nimbus/Takeda $6B deal and universal adoption by top 20 pharma companies provide early validation. However, full validation requires the proprietary clinical pipeline (SGR-1505, SGR-3515) to succeed, and the cause hasn't survived a true existential crisis that tested whether leadership would hold to it when costly.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58% PhD workforce and CEO Farid's decades-long tenure suggest a deeply scientific, mission-driven culture [3]. The cross-functional model requiring physicists, chemists, and engineers to collaborate demands trust and intellectual safety. With ~850 employees, the organization is small enough for culture to be directly shaped by leadership. However, no specific employee satisfaction data, voluntary turnover rates, or retention metrics are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Schrodinger acknowledges the broader AI drug discovery ecosystem without zero-sum framing. CEO Farid positions physics-based approaches as complementary to AI rather than competitive with it [3]. The NVIDIA partnership and Manas AI collaboration demonstrate openness to working with potential rivals. The company uses competitive advances in AlphaFold and generative chemistry as motivation to strengthen its own platform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Schrodinger evolved from pure computational chemistry software to a dual-model company with proprietary drug discovery and collaborative pipeline programs [1]. The transition from on-premise to hosted software delivery is a significant business model shift. The launch of Bunsen as an agentic AI product represents adaptation to the AI era. These are meaningful evolutions within the same domain rather than abandonment of a profitable core business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Schrodinger has invested hundreds of millions in drug discovery programs (contributing to -40% net margins) to prove the computational platform can discover drugs, not just sell software [1]. This sacrifices near-term profitability for long-term platform validation. The 2028 EBITDA profitability target shows willingness to prioritize capability over earnings. The Bunsen AI co-scientist launch represents a bold product bet. However, the company's $395M cash cushion means these 'bets' carry less existential risk than they appear.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Schrodinger represents a high-conviction bet on computational drug discovery, with the only platform adopted by all top 20 pharmaceutical companies and a dual revenue engine now accelerating. Q1 2026 showed 12% ACV growth to $28.4M and drug discovery revenue that more than doubled to $22.9M, while total Q1 revenue reached $58.6M [1]. The 2026 guidance of $218-228M ACV (10-15% growth) and $55-65M drug discovery revenue provides visible growth trajectory. The Bunsen agentic AI co-scientist launch positions the company at the intersection of physics and AI in drug discovery [4]. The balance sheet is strong with $395M cash against $109M debt, providing runway to the 2028 EBITDA profitability target. The 5-year revenue CAGR of 17.45% and validated platform (Nimbus/Takeda $6B deal) demonstrate genuine adoption momentum [3][5].</w:t>
      </w:r>
    </w:p>
    <w:p>
      <w:pPr>
        <w:spacing w:after="120"/>
      </w:pPr>
      <w:r>
        <w:rPr>
          <w:rFonts w:ascii="Calibri" w:hAnsi="Calibri"/>
          <w:b w:val="0"/>
          <w:color w:val="3A4A28"/>
          <w:sz w:val="20"/>
        </w:rPr>
        <w:t>The bear case centers on persistent unprofitability and competitive intensity. Net margins of -40% with no projected profitability until 2028 mean the company burns cash to fund drug discovery programs that carry ~90% clinical failure rates [5]. The software-to-hosted licensing transition is causing near-term revenue volatility, with Q1 2026 software revenue down 21% even as ACV grew 12% [1]. Revenue of $58.6M in Q1 missed the $71.8M consensus estimate, demonstrating continued execution uncertainty. The competitive landscape is intensifying as AlphaFold, generative chemistry, and well-funded AI drug discovery startups (Recursion, Insilico, Isomorphic Labs) challenge Schrodinger's technological differentiation [3]. At ~$1.5B market cap with persistent losses, the company requires either a clinical breakthrough in SGR-1505/SGR-3515 or sustained software acceleration to justify the investment. The stock's 80%+ decline from 2021 highs reflects deep market skepticism about the path 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Bunsen agentic AI co-scientist launch creating a new AI-native product category that combines physics-based simulation with autonomous molecular discovery workflows, potentially accelerating customer adoption [4]</w:t>
      </w:r>
    </w:p>
    <w:p>
      <w:pPr>
        <w:spacing w:before="40" w:after="40"/>
        <w:ind w:left="283"/>
      </w:pPr>
      <w:r>
        <w:rPr>
          <w:rFonts w:ascii="Calibri" w:hAnsi="Calibri"/>
          <w:b/>
          <w:color w:val="4A6B25"/>
          <w:sz w:val="20"/>
        </w:rPr>
        <w:t xml:space="preserve">2. </w:t>
      </w:r>
      <w:r>
        <w:rPr>
          <w:rFonts w:ascii="Calibri" w:hAnsi="Calibri"/>
          <w:b w:val="0"/>
          <w:color w:val="3A4A28"/>
          <w:sz w:val="20"/>
        </w:rPr>
        <w:t>Phase 1 clinical data for SGR-3515 (Wee1/Myt1 inhibitor) and continued SGR-1505 development could validate the proprietary drug discovery capability and unlock significant pipeline value [1]</w:t>
      </w:r>
    </w:p>
    <w:p>
      <w:pPr>
        <w:spacing w:before="40" w:after="40"/>
        <w:ind w:left="283"/>
      </w:pPr>
      <w:r>
        <w:rPr>
          <w:rFonts w:ascii="Calibri" w:hAnsi="Calibri"/>
          <w:b/>
          <w:color w:val="4A6B25"/>
          <w:sz w:val="20"/>
        </w:rPr>
        <w:t xml:space="preserve">3. </w:t>
      </w:r>
      <w:r>
        <w:rPr>
          <w:rFonts w:ascii="Calibri" w:hAnsi="Calibri"/>
          <w:b w:val="0"/>
          <w:color w:val="3A4A28"/>
          <w:sz w:val="20"/>
        </w:rPr>
        <w:t>Software ACV growth of 10-15% to $218-228M with hosted licensing transition driving recurring revenue expansion and gross margin improvement toward high-70s by 2028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-40% net margins and no projected EBITDA breakeven until 2028, requiring continued cash consumption to fund clinical programs with high failure probability [5]</w:t>
      </w:r>
    </w:p>
    <w:p>
      <w:pPr>
        <w:spacing w:before="40" w:after="40"/>
        <w:ind w:left="283"/>
      </w:pPr>
      <w:r>
        <w:rPr>
          <w:rFonts w:ascii="Calibri" w:hAnsi="Calibri"/>
          <w:b/>
          <w:color w:val="4A6B25"/>
          <w:sz w:val="20"/>
        </w:rPr>
        <w:t xml:space="preserve">2. </w:t>
      </w:r>
      <w:r>
        <w:rPr>
          <w:rFonts w:ascii="Calibri" w:hAnsi="Calibri"/>
          <w:b w:val="0"/>
          <w:color w:val="3A4A28"/>
          <w:sz w:val="20"/>
        </w:rPr>
        <w:t>Intensifying competitive landscape from AlphaFold, generative chemistry platforms, and well-funded AI drug discovery startups that could erode Schrodinger's pricing power and technological differentiation [3]</w:t>
      </w:r>
    </w:p>
    <w:p>
      <w:pPr>
        <w:spacing w:before="40" w:after="40"/>
        <w:ind w:left="283"/>
      </w:pPr>
      <w:r>
        <w:rPr>
          <w:rFonts w:ascii="Calibri" w:hAnsi="Calibri"/>
          <w:b/>
          <w:color w:val="4A6B25"/>
          <w:sz w:val="20"/>
        </w:rPr>
        <w:t xml:space="preserve">3. </w:t>
      </w:r>
      <w:r>
        <w:rPr>
          <w:rFonts w:ascii="Calibri" w:hAnsi="Calibri"/>
          <w:b w:val="0"/>
          <w:color w:val="3A4A28"/>
          <w:sz w:val="20"/>
        </w:rPr>
        <w:t>Software licensing transition causing near-term revenue volatility — Q1 2026 software revenue declined 21% despite 12% ACV growth, creating quarterly results uncertainty that pressures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Schrodinger IS an AI/computational platform company — the business cannot be disrupted by AI because AI is its core value proposition [3]. The company's 30+ years of physics-based modeling expertise creates a differentiated moat that pure-ML competitors cannot easily replicate. All top 20 pharma companies are customers, demonstrating platform entrenchment. However, competitive risk exists from AlphaFold, generative chemistry platforms, and well-funded AI drug discovery startups (Recursion, Insilico Medicine, Isomorphic Labs) that could erode differentiation if pure-AI approaches prove more predictive than physics-based methods. CEO Farid's insistence on physics may prove visionary or defensive. AI Opportunity (1/1): Schrodinger's entire $256M revenue base is AI-related — the platform combines physics-based simulation with machine learning for molecular discovery [1]. The Bunsen agentic AI co-scientist launched in 2026 directly generates AI product revenue [4]. Revenue is 100% AI-enabled.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Schrodinger Q1 2026 Earnings Release — $58.6M total revenue, ACV up 12% to $28.4M, drug discovery revenue doubled to $22.9M, software revenue -21%, 2026 ACV guidance $218-228M, May 2026</w:t>
      </w:r>
    </w:p>
    <w:p>
      <w:pPr>
        <w:spacing w:before="20" w:after="20"/>
        <w:ind w:left="170"/>
      </w:pPr>
      <w:r>
        <w:rPr>
          <w:rFonts w:ascii="Calibri" w:hAnsi="Calibri"/>
          <w:b/>
          <w:color w:val="4A6B25"/>
          <w:sz w:val="15"/>
        </w:rPr>
        <w:t xml:space="preserve">2. </w:t>
      </w:r>
      <w:r>
        <w:rPr>
          <w:rFonts w:ascii="Calibri" w:hAnsi="Calibri"/>
          <w:b w:val="0"/>
          <w:color w:val="3A4A28"/>
          <w:sz w:val="17"/>
        </w:rPr>
        <w:t>Schrodinger 2026 Strategic Priorities — scaling impact, scientific leadership, platform expansion, clinical pipeline advancement, IR Press Release, January 2026</w:t>
      </w:r>
    </w:p>
    <w:p>
      <w:pPr>
        <w:spacing w:before="20" w:after="20"/>
        <w:ind w:left="170"/>
      </w:pPr>
      <w:r>
        <w:rPr>
          <w:rFonts w:ascii="Calibri" w:hAnsi="Calibri"/>
          <w:b/>
          <w:color w:val="4A6B25"/>
          <w:sz w:val="15"/>
        </w:rPr>
        <w:t xml:space="preserve">3. </w:t>
      </w:r>
      <w:r>
        <w:rPr>
          <w:rFonts w:ascii="Calibri" w:hAnsi="Calibri"/>
          <w:b w:val="0"/>
          <w:color w:val="3A4A28"/>
          <w:sz w:val="17"/>
        </w:rPr>
        <w:t>Schrodinger CEO Ramy Farid — physics-based AI drug discovery platform, top 20 pharma customers, NVIDIA partnership, Nimbus/Takeda validation, STAT News and GEN, 2024-2026</w:t>
      </w:r>
    </w:p>
    <w:p>
      <w:pPr>
        <w:spacing w:before="20" w:after="20"/>
        <w:ind w:left="170"/>
      </w:pPr>
      <w:r>
        <w:rPr>
          <w:rFonts w:ascii="Calibri" w:hAnsi="Calibri"/>
          <w:b/>
          <w:color w:val="4A6B25"/>
          <w:sz w:val="15"/>
        </w:rPr>
        <w:t xml:space="preserve">4. </w:t>
      </w:r>
      <w:r>
        <w:rPr>
          <w:rFonts w:ascii="Calibri" w:hAnsi="Calibri"/>
          <w:b w:val="0"/>
          <w:color w:val="3A4A28"/>
          <w:sz w:val="17"/>
        </w:rPr>
        <w:t>Schrodinger Bunsen AI Co-Scientist Launch — agentic AI system for molecular discovery workflows combining AI with physics-based simulation, Investing.com,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SDGR key statistics, financial ratios, revenue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