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SFNC</w:t>
      </w:r>
      <w:r>
        <w:rPr>
          <w:rFonts w:ascii="Calibri" w:hAnsi="Calibri"/>
          <w:b/>
          <w:color w:val="1A2010"/>
          <w:sz w:val="40"/>
        </w:rPr>
        <w:t xml:space="preserve">  Simmons First National Corporation</w:t>
      </w:r>
    </w:p>
    <w:p>
      <w:pPr>
        <w:spacing w:after="120"/>
      </w:pPr>
      <w:r>
        <w:rPr>
          <w:rFonts w:ascii="Calibri" w:hAnsi="Calibri"/>
          <w:b/>
          <w:color w:val="6E8450"/>
          <w:sz w:val="18"/>
        </w:rPr>
        <w:t>DIVIDEND SLEEVE · 2026-08-05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Simmons First National Corporation is a Mid-South based financial holding company headquartered in Pine Bluff, Arkansas. Its principal subsidiary, Simmons Bank, operates more than 220 branches across Arkansas, Kansas, Missouri, Oklahoma, Tennessee, and Texas. With total assets of $24.8B and total deposits of $19.7B as of Q2 2026, Simmons provides comprehensive financial solutions including commercial and consumer lending, mortgage services, trust, and wealth management. The company has paid cash dividends for 117 consecutive years.</w:t>
      </w:r>
    </w:p>
    <w:p>
      <w:r>
        <w:rPr>
          <w:rFonts w:ascii="Calibri" w:hAnsi="Calibri"/>
          <w:b/>
          <w:color w:val="6E8450"/>
          <w:sz w:val="18"/>
        </w:rPr>
        <w:t>3,000 Employees · https://www.simmonsbank.com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Simmons executed a decade-long acquisition strategy expanding from a small Arkansas community bank to a $24.8B multi-state regional institution with 220+ branches across six states, fundamentally reshaping the company's scale and geographic reach [1]. However, these are serial acquisitions of similar businesses — buying more banks — not transformative product launches or business model innovation. AI Deployment (0/2): No evidence of AI-powered products, quantified AI-driven efficiencies, or specific AI investments disclosed in Q2 2026 earnings or public materials [2]. Market Share (0/2): Simmons is a mid-size regional bank — the 100th-largest U.S. bank by assets — with meaningful local presence in Arkansas but no dominant or category-defining national position. Pipeline (0/2): No next-generation digital banking products, fintech integrations, or innovation initiatives announced with specific timelines or revenue visibility. R&amp;D (0/1): As a regional bank, technology spending appears at or below industry average with no evidence of above-peer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Simmons Bank's purpose centers on 'building value for its customers, communities, and shareholders' while 'operating with great integrity and passion' [2]. This is clear and identifies stakeholders but is not distinctive or transformative — interchangeable with any community bank mission statement. Community Impact (1/2): Associates contributed more than 5,500 volunteer hours and in-kind donations across their six-state footprint [3]. The community banking model inherently supports local economic development through lending. However, no specific charitable foundation dollar amounts or distinctive programs with measurable impact were identified. Employee Retention (1/2): Multiple workplace recognitions — Newsweek Greatest Workplaces, Forbes Best-In-State Employers (Missouri), U.S. News Best Companies to Work For (South) — suggest above-average employee satisfaction [2]. Leadership development programs, competitive compensation, and wellness initiatives indicate organizational investment in people. Insider Buying (0/2): CEO Jay Brogdon acquired 4,000 shares on April 26, 2026, but this was an M-Exempt transaction (compensation vesting) rather than open-market buying [4]. Additional insider activity consisted primarily of RSU vesting, not discretionary purchases showing personal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SFNC's Forward P/E of approximately 11x represents compelling valuation for a growing regional bank [4]. Revenue grew 16% YoY to $248.6M in Q2 2026, well above the 10% target, driven by net interest income expansion of 17% YoY to $200.6M [1]. Profit margin of approximately 27% exceeds the 20% target. However, ROE of 7.69% is below the 15% target, reflecting the bank's conservative capital structure and lingering impact from the Q3 2025 impairment charge. D/E of 659% — while normal for banks where customer deposits constitute the majority of liabilities — scores 0 against the 300% floor. The dividend profile is a standout: 117 consecutive years of payments (the longest streak in the IOWN universe) scores perfectly at 2x weight, and the 43% payout ratio is near the 40% target [1][4]. The 5-year dividend growth CAGR of approximately 4% and estimated 5 consecutive years of growth score modestly below targets.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Simmons First National demonstrates moderate infinite game characteristics anchored by remarkable institutional endurance — 117 consecutive years of dividend payments spanning two world wars, the Great Depression, the 2008 financial crisis, and COVID-19. However, the current strategic playbook is growth-through-acquisition, a fundamentally finite 'get bigger' approach. The orderly CEO transition from George Makris to Jay Brogdon in January 2026 demonstrates succession planning discipline, and workplace awards suggest decent organizational health, but the company lacks a distinctive Just Cause beyond generic community banking.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Simmons Bank's 117-year history of consecutive dividend payments is itself evidence of a genuine long-term orientation rarely seen in American business. The mission of 'building value for customers, communities, and shareholders with great integrity and passion' has been validated across multiple crises and leadership transitions [2]. However, the purpose remains generic for a community bank and does not describe a future state so compelling that people would sacrifice to advance it. The acquisition-driven growth strategy is ultimately about scale, not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Multiple workplace recognitions including Newsweek Greatest Workplaces, Forbes Best-In-State Employers, and U.S. News Best Companies to Work For in the South suggest above-average trust and employee satisfaction [2]. The company emphasizes leadership development, culture programs, wellness initiatives, and internal promotion. The deliberate, multi-year CEO succession plan from Makris to Brogdon demonstrates organizational stability and leadership continuity. No specific voluntary turnover data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Simmons' Q2 2026 earnings call language focused on deposit competition, loan production growth, and efficiency metrics — typical finite competitive framing for regional banking [1]. No evidence of management explicitly acknowledging competitors' strengths or using rivalry as motivation for self-improvement rather than market share conquest.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Simmons demonstrated meaningful strategic evolution by transforming from a small Arkansas community bank into a $24.8B six-state regional institution through over a dozen acquisitions spanning a decade [1]. This represents genuine geographic and scale evolution. However, the changes were incremental (buying more banks) rather than transformative reinvention of the business model — the core community banking model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aggressive M&amp;A growth strategy required capital commitment and integration risk that many regional bank peers avoided. Management maintained the dividend through the Q3 2025 impairment event ($562.8M charge) and continued investing in expansion despite near-term earnings volatility [1]. New CEO Jay Brogdon was internally groomed and promoted rather than an outside hire, showing commitment to institutional continuity over a flashy external appointment.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Simmons First National offers a compelling value and income proposition: Q2 2026 adjusted EPS of $0.50, revenue of $248.6M (up 16% YoY), and net interest income of $200.6M (up 17% YoY) demonstrate strengthening operating performance [1]. At approximately 11x forward P/E with a 3.8% dividend yield backed by 117 consecutive years of payments — one of the longest dividend streaks in American banking — SFNC provides rare institutional durability [4]. The bank's strong capital position (tangible common equity ratio of 8.91%), 4% annualized deposit growth, and 3% annualized loan growth indicate healthy organic momentum. New CEO Jay Brogdon's focus on organic growth, talent acquisition, and innovation positions Simmons for the next phase of its evolution.</w:t>
      </w:r>
    </w:p>
    <w:p>
      <w:pPr>
        <w:spacing w:after="120"/>
      </w:pPr>
      <w:r>
        <w:rPr>
          <w:rFonts w:ascii="Calibri" w:hAnsi="Calibri"/>
          <w:b w:val="0"/>
          <w:color w:val="3A4A28"/>
          <w:sz w:val="20"/>
        </w:rPr>
        <w:t>The bear case centers on modest profitability, regional concentration, and leadership transition risk. ROE of 7.69% is below the 15% target and modest for a $24.8B asset bank, reflecting the lingering impact of the Q3 2025 impairment and conservative capital deployment [1]. Q2 2026 adjusted EPS of $0.50 missed the consensus estimate of $0.52, and total revenue of $248.6M came in below the forecast of $250.7M, suggesting execution is not yet pristine under the new leadership team [1]. The mid-South footprint across Arkansas, Kansas, Missouri, Oklahoma, Tennessee, and Texas leaves Simmons exposed to regional economic volatility in agriculture and energy-dependent markets. D/E of 659% — while standard for banks — creates structural leverage risk. Rising fintech competition from AI-powered lending platforms could pressure margins in the smaller markets where Simmons competes, and the company has shown no visible AI strategy to counter this threat.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net interest margin expansion through 2026 as fixed-rate assets reprice higher and deposit costs stabilize, with Q2 2026 already showing 17% YoY NII growth to $200.6M [1]</w:t>
      </w:r>
    </w:p>
    <w:p>
      <w:pPr>
        <w:spacing w:before="40" w:after="40"/>
        <w:ind w:left="283"/>
      </w:pPr>
      <w:r>
        <w:rPr>
          <w:rFonts w:ascii="Calibri" w:hAnsi="Calibri"/>
          <w:b/>
          <w:color w:val="4A6B25"/>
          <w:sz w:val="20"/>
        </w:rPr>
        <w:t xml:space="preserve">2. </w:t>
      </w:r>
      <w:r>
        <w:rPr>
          <w:rFonts w:ascii="Calibri" w:hAnsi="Calibri"/>
          <w:b w:val="0"/>
          <w:color w:val="3A4A28"/>
          <w:sz w:val="20"/>
        </w:rPr>
        <w:t>Successful CEO transition to Jay Brogdon, who brings continuity to the growth strategy with new emphasis on organic growth, talent acquisition, and innovation [2]</w:t>
      </w:r>
    </w:p>
    <w:p>
      <w:pPr>
        <w:spacing w:before="40" w:after="40"/>
        <w:ind w:left="283"/>
      </w:pPr>
      <w:r>
        <w:rPr>
          <w:rFonts w:ascii="Calibri" w:hAnsi="Calibri"/>
          <w:b/>
          <w:color w:val="4A6B25"/>
          <w:sz w:val="20"/>
        </w:rPr>
        <w:t xml:space="preserve">3. </w:t>
      </w:r>
      <w:r>
        <w:rPr>
          <w:rFonts w:ascii="Calibri" w:hAnsi="Calibri"/>
          <w:b w:val="0"/>
          <w:color w:val="3A4A28"/>
          <w:sz w:val="20"/>
        </w:rPr>
        <w:t>Potential M&amp;A activity as banking consolidation accelerates — Simmons' strong 8.91% tangible common equity ratio provides balance sheet capacity for accretive deals in the mid-South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Recurrence of asset quality issues — the Q3 2025 impairment charge of $562.8M that wiped out TTM earnings could signal deeper problems in acquired loan portfolios or mark-to-market exposures [1]</w:t>
      </w:r>
    </w:p>
    <w:p>
      <w:pPr>
        <w:spacing w:before="40" w:after="40"/>
        <w:ind w:left="283"/>
      </w:pPr>
      <w:r>
        <w:rPr>
          <w:rFonts w:ascii="Calibri" w:hAnsi="Calibri"/>
          <w:b/>
          <w:color w:val="4A6B25"/>
          <w:sz w:val="20"/>
        </w:rPr>
        <w:t xml:space="preserve">2. </w:t>
      </w:r>
      <w:r>
        <w:rPr>
          <w:rFonts w:ascii="Calibri" w:hAnsi="Calibri"/>
          <w:b w:val="0"/>
          <w:color w:val="3A4A28"/>
          <w:sz w:val="20"/>
        </w:rPr>
        <w:t>Regional economic concentration across six mid-South states leaves the bank vulnerable to localized downturns in agriculture, energy, and real estate — sectors that disproportionately affect Simmons' markets</w:t>
      </w:r>
    </w:p>
    <w:p>
      <w:pPr>
        <w:spacing w:before="40" w:after="40"/>
        <w:ind w:left="283"/>
      </w:pPr>
      <w:r>
        <w:rPr>
          <w:rFonts w:ascii="Calibri" w:hAnsi="Calibri"/>
          <w:b/>
          <w:color w:val="4A6B25"/>
          <w:sz w:val="20"/>
        </w:rPr>
        <w:t xml:space="preserve">3. </w:t>
      </w:r>
      <w:r>
        <w:rPr>
          <w:rFonts w:ascii="Calibri" w:hAnsi="Calibri"/>
          <w:b w:val="0"/>
          <w:color w:val="3A4A28"/>
          <w:sz w:val="20"/>
        </w:rPr>
        <w:t>No visible AI or digital banking strategy to counter rising fintech competition from SoFi, Upstart, and Chime in consumer lending and deposits — the 220+ branch network could become a cost disadvantage as digital adoption accelerates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Simmons Bank's core business of relationship-based community and commercial lending, deposit gathering, and trust services operates behind significant regulatory moats — banking charters, FDIC insurance, BSA/AML compliance, and state/federal examination requirements — and requires physical branch infrastructure and local market knowledge that AI cannot easily replicate [1]. The $24.8B asset base serves small-to-midsized businesses and consumers across six mid-South states who value personal banking relationships. However, fintech and AI-powered lending platforms (SoFi, Upstart, Chime) represent meaningful competitive pressure in consumer lending and deposit products, and AI-driven credit decisioning could compress margins in markets where Simmons competes [2]. The bank's 220+ branch network could become a cost disadvantage if digital banking adoption accelerates. AI Opportunity (0/1): No evidence of AI-generated revenue, AI-powered products, or quantified AI-driven operational savings in public disclosures.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Simmons First National Corporation Q2 2026 Earnings Release and Investor Presentation — PRNewswire, GuruFocus, StockTitan, July 2026</w:t>
      </w:r>
    </w:p>
    <w:p>
      <w:pPr>
        <w:spacing w:before="20" w:after="20"/>
        <w:ind w:left="170"/>
      </w:pPr>
      <w:r>
        <w:rPr>
          <w:rFonts w:ascii="Calibri" w:hAnsi="Calibri"/>
          <w:b/>
          <w:color w:val="4A6B25"/>
          <w:sz w:val="15"/>
        </w:rPr>
        <w:t xml:space="preserve">2. </w:t>
      </w:r>
      <w:r>
        <w:rPr>
          <w:rFonts w:ascii="Calibri" w:hAnsi="Calibri"/>
          <w:b w:val="0"/>
          <w:color w:val="3A4A28"/>
          <w:sz w:val="17"/>
        </w:rPr>
        <w:t>Simmons First National CEO Transition and Leadership — IR.SimmonsBank.com, PRNewswire, Fortune, February 2026</w:t>
      </w:r>
    </w:p>
    <w:p>
      <w:pPr>
        <w:spacing w:before="20" w:after="20"/>
        <w:ind w:left="170"/>
      </w:pPr>
      <w:r>
        <w:rPr>
          <w:rFonts w:ascii="Calibri" w:hAnsi="Calibri"/>
          <w:b/>
          <w:color w:val="4A6B25"/>
          <w:sz w:val="15"/>
        </w:rPr>
        <w:t xml:space="preserve">3. </w:t>
      </w:r>
      <w:r>
        <w:rPr>
          <w:rFonts w:ascii="Calibri" w:hAnsi="Calibri"/>
          <w:b w:val="0"/>
          <w:color w:val="3A4A28"/>
          <w:sz w:val="17"/>
        </w:rPr>
        <w:t>Simmons First National ESG and Community Engagement — CapEdge ESG Data, SEC DEF 14A Proxy Filing, April 2026</w:t>
      </w:r>
    </w:p>
    <w:p>
      <w:pPr>
        <w:spacing w:before="20" w:after="20"/>
        <w:ind w:left="170"/>
      </w:pPr>
      <w:r>
        <w:rPr>
          <w:rFonts w:ascii="Calibri" w:hAnsi="Calibri"/>
          <w:b/>
          <w:color w:val="4A6B25"/>
          <w:sz w:val="15"/>
        </w:rPr>
        <w:t xml:space="preserve">4. </w:t>
      </w:r>
      <w:r>
        <w:rPr>
          <w:rFonts w:ascii="Calibri" w:hAnsi="Calibri"/>
          <w:b w:val="0"/>
          <w:color w:val="3A4A28"/>
          <w:sz w:val="17"/>
        </w:rPr>
        <w:t>Simmons First National (SFNC) Financial Statistics — WallStreetZen, MacroTrends, Dividend.com,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