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SHO</w:t>
      </w:r>
      <w:r>
        <w:rPr>
          <w:rFonts w:ascii="Calibri" w:hAnsi="Calibri"/>
          <w:b/>
          <w:color w:val="1A2010"/>
          <w:sz w:val="40"/>
        </w:rPr>
        <w:t xml:space="preserve">  Sunstone Hotel Investors, Inc.</w:t>
      </w:r>
    </w:p>
    <w:p>
      <w:pPr>
        <w:spacing w:after="120"/>
      </w:pPr>
      <w:r>
        <w:rPr>
          <w:rFonts w:ascii="Calibri" w:hAnsi="Calibri"/>
          <w:b/>
          <w:color w:val="6E8450"/>
          <w:sz w:val="18"/>
        </w:rPr>
        <w:t>DIVIDEND SLEEVE · 2026-07-20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Sunstone Hotel Investors is a lodging real estate investment trust focused on the acquisition, active ownership, asset management, renovation, and disposition of well-located luxury, upper upscale, and upscale full-service hotels in the United States. The portfolio includes approximately 15 properties operated under Marriott, Hilton, and Hyatt brands in high-barrier coastal and urban markets. Market cap of approximately $2.2 billion.</w:t>
      </w:r>
    </w:p>
    <w:p>
      <w:r>
        <w:rPr>
          <w:rFonts w:ascii="Calibri" w:hAnsi="Calibri"/>
          <w:b/>
          <w:color w:val="6E8450"/>
          <w:sz w:val="18"/>
        </w:rPr>
        <w:t>37 Employees · https://www.sunstonehotels.com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Sunstone's primary innovation is the $214M acquisition and full renovation of Andaz Miami Beach, which contributed approximately 400bps to portfolio RevPAR growth in Q1 2026 during its first full year of operations [1]. The company has also executed portfolio repositioning through selective dispositions and renovations, but these are standard REIT capital allocation moves rather than transformative product launches. AI Deployment (0/2): No evidence of AI-powered products or quantified AI-driven cost savings. Sunstone operates with only 37 corporate employees and relies on third-party hotel operators (Marriott, Hilton, Hyatt) for day-to-day management where AI adoption would occur at the operator level [2]. Market Share (1/2): Sunstone is a meaningful player in the upper upscale/luxury hotel REIT space with a ~$2.2B market cap, though significantly smaller than Host Hotels ($12B+) and Park Hotels ($3B+). The focused portfolio in high-barrier markets provides differentiation. Pipeline (1/2): Q1 2026 beat with RevPAR up 14.6% and raised FY2026 guidance to RevPAR growth of 5.0-7.5%, Adjusted EBITDAre of $238-$252M, and FFO of $0.88-$0.96/share [1]. R&amp;D Intensity (1/1): Not applicable for a REIT, but Sunstone invests meaningfully in property renovations and capital improvements above minimum maintenance requirements.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Sunstone's stated strategy is 'to create long-term stakeholder value through the acquisition, active ownership, and disposition of well-located hotel and resort real estate' [2]. This is a purely financial objective interchangeable with any hotel REIT — it describes what the company does, not why it exists beyond profit. Community Impact (1/2): Sunstone published its 2024 Corporate Responsibility Report with 2035 environmental targets and maintains a low-risk ESG score of 15.2 from Sustainalytics, though the company controversially removed ESG policies from its 2025 Annual Report without public explanation [3]. Employee Retention (1/2): CEO Bryan Giglia has been with Sunstone since 2004 (22 years), rising from finance roles to CEO in 2022, reflecting strong internal development and loyalty in the lean 37-person corporate team [2]. In 2025, 100% of employees participated in engagement training. Insider Buying (0/2): No insider purchases recorded over the past 12 months. CIO Robert Springer sold 89,631 shares ($1.04M) in June 2026, his first open-market sale, while the company executed $40M in corporate buybacks at an average $9.24/share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REIT-specific distortions noted. D/E of 39% is excellent and well below the 70% target, reflecting conservative leverage with 4.7x net debt plus preferred to EBITDA [5]. ROE of 8.04% is below the 15% target but improved significantly from 1.2% in the prior period as Andaz Miami Beach ramped earnings [5]. Q1 2026 revenue of $259.7M grew 11% YoY, beating consensus by 7.1%, with RevPAR up 14.6% to $255.04 [1]. Forward P/E of 89.5x scores 0.0, but this GAAP metric is severely distorted for REITs due to non-cash depreciation — the more economically relevant P/FFO of approximately 11.9x (based on midpoint FFO guidance of $0.92/share) would be well below the 20x target [1]. GAAP profit margin of 2.6% is similarly distorted. FFO-based payout ratio of 39% is well managed. Liquidity: 2,007,064 avg volume x $10.91 = $21.9M daily — passes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Sunstone operates with a steady, long-term capital allocation approach — CEO Giglia's 22-year tenure, conservative 39% D/E leverage, and patient renovation-driven value creation suggest endurance-oriented thinking. However, the generic financial mission, lack of a deeper purpose beyond shareholder returns, and the fundamentally transactional nature of hotel REIT investing (buy, renovate, sell) limit the infinite game profile. The company plays to keep playing but does not play for a cause larger than itself.</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Sunstone's stated strategy — creating long-term stakeholder value through hotel real estate acquisition and disposition — is a financial objective, not a Just Cause [2]. There is no articulated vision of a better future, no service-oriented purpose beyond profit. The removal of ESG policies from the 2025 Annual Report further suggests the company's limited commitment to causes beyond financial returns [3]. Sinek would see no Just Cause here.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37 corporate employees, Sunstone operates as a tight-knit investment team where trust is built through proximity and long tenure. CEO Giglia's 22-year career at Sunstone, rising from finance roles to CEO, suggests a promote-from-within culture [2]. In 2025, 100% of employees participated in employee engagement training through interactive workshops. The lean structure inherently requires high collaboration and trust, though no specific turnover or satisfaction data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Sunstone's competitive posture focuses on its own portfolio quality and capital allocation discipline rather than attacking competitors. Management commentary on earnings calls emphasizes RevPAR growth, renovation returns, and shareholder value creation rather than framing the competitive landscape as a battle to win [1]. The company competes with Host Hotels, Park Hotels, and Pebblebrook but does not adopt adversarial language.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Sunstone has remained a hotel REIT since its founding in 1995, with no meaningful strategic pivot or business model transformation. The portfolio has shifted from select-service to upper upscale/luxury properties and the Andaz Miami Beach represents a move further upmarket [1]. But these are incremental repositioning moves within the same fundamental business model of owning hotel real estate.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Sunstone has shown some courageous capital allocation — the $214M Andaz Miami Beach acquisition and full renovation represented a significant bet for a ~$2B company, and the $40M share repurchase at $9.24/share (below current price) during market uncertainty showed conviction [1][4]. The decision to suspend the dividend during COVID rather than take on additional debt prioritized long-term balance sheet health. However, these are standard REIT management decisions rather than cause-driven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Sunstone Hotel Investors delivered a strong Q1 2026 beat — revenue of $259.7M topped consensus by 7.1%, Adjusted EBITDAre rose 18.3% to $67.7M, and FFO per share surged 28.6% to $0.27, driven by the Andaz Miami Beach ramp contributing approximately 400bps to portfolio RevPAR growth of 14.6% [1]. Management raised FY2026 guidance to RevPAR growth of 5.0-7.5%, Adjusted EBITDAre of $238-252M, and FFO of $0.88-0.96/share [1]. The conservative balance sheet (D/E 39%, 4.7x net debt to EBITDA) and $40M in share buybacks at $9.24/share demonstrate disciplined capital allocation under CEO Giglia's 22-year leadership tenure [4][5]. At approximately 11.9x P/FFO with a 3.3% dividend yield and 39% FFO payout ratio, the valuation offers modest upside with room for continued dividend increases.</w:t>
      </w:r>
    </w:p>
    <w:p>
      <w:pPr>
        <w:spacing w:after="120"/>
      </w:pPr>
      <w:r>
        <w:rPr>
          <w:rFonts w:ascii="Calibri" w:hAnsi="Calibri"/>
          <w:b w:val="0"/>
          <w:color w:val="3A4A28"/>
          <w:sz w:val="20"/>
        </w:rPr>
        <w:t>The bear case centers on SHO's structural limitations as a hotel REIT in the IOWN framework. GAAP metrics are severely distorted — trailing P/E of 106x, forward P/E of 89.5x, profit margin of 2.6%, ROE of 8% — reflecting non-cash depreciation that understates economic profitability [5]. The Andaz Miami Beach renovation, while a growth driver contributing 400bps to RevPAR, introduces single-asset concentration risk for a ~15-property portfolio. CIO Robert Springer's $1.04M share sale in June 2026 at $11.62/share (the only insider transaction in the past year, no buying) is a modest negative signal [4]. Hotel REITs remain highly sensitive to consumer discretionary spending — any macro slowdown would pressure RevPAR, occupancy, and property valuations. The company's controversial removal of ESG policies from its 2025 Annual Report without explanation raises governance questions [3]. With full operational dependence on third-party managers, Sunstone has limited direct control over labor costs and guest experience.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Andaz Miami Beach first full year of operations driving FY2026 earnings growth, with raised guidance for RevPAR growth of 5.0-7.5% and Adjusted EBITDAre of $238-252M — Q1 already showed 14.6% portfolio RevPAR growth [1]</w:t>
      </w:r>
    </w:p>
    <w:p>
      <w:pPr>
        <w:spacing w:before="40" w:after="40"/>
        <w:ind w:left="283"/>
      </w:pPr>
      <w:r>
        <w:rPr>
          <w:rFonts w:ascii="Calibri" w:hAnsi="Calibri"/>
          <w:b/>
          <w:color w:val="4A6B25"/>
          <w:sz w:val="20"/>
        </w:rPr>
        <w:t xml:space="preserve">2. </w:t>
      </w:r>
      <w:r>
        <w:rPr>
          <w:rFonts w:ascii="Calibri" w:hAnsi="Calibri"/>
          <w:b w:val="0"/>
          <w:color w:val="3A4A28"/>
          <w:sz w:val="20"/>
        </w:rPr>
        <w:t>Share repurchase program providing buyback support at attractive prices ($40M executed at $9.24 avg, plus $26M in preferred stock repurchased at nearly 20% discount to liquidation value) [4]</w:t>
      </w:r>
    </w:p>
    <w:p>
      <w:pPr>
        <w:spacing w:before="40" w:after="40"/>
        <w:ind w:left="283"/>
      </w:pPr>
      <w:r>
        <w:rPr>
          <w:rFonts w:ascii="Calibri" w:hAnsi="Calibri"/>
          <w:b/>
          <w:color w:val="4A6B25"/>
          <w:sz w:val="20"/>
        </w:rPr>
        <w:t xml:space="preserve">3. </w:t>
      </w:r>
      <w:r>
        <w:rPr>
          <w:rFonts w:ascii="Calibri" w:hAnsi="Calibri"/>
          <w:b w:val="0"/>
          <w:color w:val="3A4A28"/>
          <w:sz w:val="20"/>
        </w:rPr>
        <w:t>FFO per share guidance of $0.88-$0.96 implies 15-20% growth at midpoint versus FY2025, with FFO payout ratio of 39% leaving significant room for additional dividend increases beyond the 29% raise in 2024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Macro recession risk — hotel REITs are highly sensitive to consumer discretionary spending, and any economic slowdown would pressure RevPAR growth, occupancy rates, and property valuations below guided ranges</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risk from Andaz Miami Beach contributing approximately 400bps of portfolio RevPAR growth — any property-specific disruption (hurricane, renovation delay) would disproportionately impact results</w:t>
      </w:r>
    </w:p>
    <w:p>
      <w:pPr>
        <w:spacing w:before="40" w:after="40"/>
        <w:ind w:left="283"/>
      </w:pPr>
      <w:r>
        <w:rPr>
          <w:rFonts w:ascii="Calibri" w:hAnsi="Calibri"/>
          <w:b/>
          <w:color w:val="4A6B25"/>
          <w:sz w:val="20"/>
        </w:rPr>
        <w:t xml:space="preserve">3. </w:t>
      </w:r>
      <w:r>
        <w:rPr>
          <w:rFonts w:ascii="Calibri" w:hAnsi="Calibri"/>
          <w:b w:val="0"/>
          <w:color w:val="3A4A28"/>
          <w:sz w:val="20"/>
        </w:rPr>
        <w:t>Limited operational control — Sunstone depends entirely on third-party hotel operators (Marriott, Hilton, Hyatt) for property management, giving it no direct control over labor costs, guest experience, or operational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Sunstone's business — owning physical hotel and resort real estate in high-barrier coastal and urban markets — is structurally immune to AI disruption [1]. AI cannot replace the physical hotel experience, the land and buildings, or the location-based competitive advantages of properties like Andaz Miami Beach or Wailea Beach Resort. The hospitality industry may see AI-driven operational efficiencies (revenue management, dynamic pricing, chatbot concierge) but these benefit hotel owners through margin improvement rather than threatening the asset ownership model. As a REIT with only 37 employees and third-party operators managing properties, Sunstone faces essentially zero workforce displacement risk from AI. AI Opportunity (0/1): Sunstone generates no direct AI-related revenue. Any AI benefits accrue through operator-level efficiencies passed through in improved hotel performance metrics, but Sunstone itself does not develop or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Sunstone Hotel Investors Q1 2026 Earnings Release — revenue $259.7M (+11%), Adj EBITDAre $67.7M (+18.3%), FFO/share $0.27 (+28.6%), raised FY2026 guidance; PR Newswire, May 2026</w:t>
      </w:r>
    </w:p>
    <w:p>
      <w:pPr>
        <w:spacing w:before="20" w:after="20"/>
        <w:ind w:left="170"/>
      </w:pPr>
      <w:r>
        <w:rPr>
          <w:rFonts w:ascii="Calibri" w:hAnsi="Calibri"/>
          <w:b/>
          <w:color w:val="4A6B25"/>
          <w:sz w:val="15"/>
        </w:rPr>
        <w:t xml:space="preserve">2. </w:t>
      </w:r>
      <w:r>
        <w:rPr>
          <w:rFonts w:ascii="Calibri" w:hAnsi="Calibri"/>
          <w:b w:val="0"/>
          <w:color w:val="3A4A28"/>
          <w:sz w:val="17"/>
        </w:rPr>
        <w:t>Sunstone Hotel Investors corporate profile — CEO Bryan Giglia (22-year tenure), 37 employees, lifecycle investment approach; sunstonehotels.com,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Sunstone Hotel Investors ESG and Corporate Responsibility — 2024 CR Report, 2035 environmental targets, ESG policy removal from 2025 Annual Report; KnowESG, 1792 Exchange,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Sunstone Hotel Investors Insider Activity — CIO Robert Springer $1.04M sale (June 2026), $40M corporate buybacks at $9.24 avg, $26M preferred repurchase; MarketBeat, Investing.com,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SHO Financial Ratios: D/E 39%, ROE 8.04%, Forward P/E 89.52, PEG 2.65, avg volume 2.0M;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