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SHW</w:t>
      </w:r>
      <w:r>
        <w:rPr>
          <w:rFonts w:ascii="Calibri" w:hAnsi="Calibri"/>
          <w:b/>
          <w:color w:val="1A2010"/>
          <w:sz w:val="40"/>
        </w:rPr>
        <w:t xml:space="preserve">  The Sherwin-Williams Company</w:t>
      </w:r>
    </w:p>
    <w:p>
      <w:pPr>
        <w:spacing w:after="120"/>
      </w:pPr>
      <w:r>
        <w:rPr>
          <w:rFonts w:ascii="Calibri" w:hAnsi="Calibri"/>
          <w:b/>
          <w:color w:val="6E8450"/>
          <w:sz w:val="18"/>
        </w:rPr>
        <w:t>GROWTH SLEEVE · 2026-07-22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Sherwin-Williams is the world's largest manufacturer of paints and coatings, operating through three segments: Paint Stores Group (company-owned stores serving professional painters), Consumer Brands Group (products sold through home centers and hardware stores), and Performance Coatings Group (industrial coatings for automotive, aerospace, packaging, and wood finishing). Founded in 1866, the company operates over 4,800 company-operated stores worldwide.</w:t>
      </w:r>
    </w:p>
    <w:p>
      <w:r>
        <w:rPr>
          <w:rFonts w:ascii="Calibri" w:hAnsi="Calibri"/>
          <w:b/>
          <w:color w:val="6E8450"/>
          <w:sz w:val="18"/>
        </w:rPr>
        <w:t>64,249 Employees · https://www.sherwin-williams.com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Sherwin-Williams delivered Q1 2026 revenue of $5.67B (up 6.8% YoY) with adjusted EPS of $2.35 (up 4.4%), and 2025 full-year revenue of $23.57B with record adjusted EPS of $11.43 [1][2]. The 2017 Valspar acquisition ($11.3B) was transformative, but no new business lines or model pivots in the last 5 years — the company remains a paint/coatings manufacturer-retailer. AI Deployment (0/2): No evidence of AI-powered products shipping to customers or quantified AI-driven cost savings. Technology investments focus on color-matching tools like ColorSnap Visualizer and e-commerce capabilities rather than AI [3]. Market Share (2/2): Sherwin-Williams is the undisputed global leader in paints and coatings by revenue, with 4,800+ company-operated stores creating an unmatched distribution moat in professional paint. The company holds the #1 position in architectural coatings in North America [1]. Pipeline (1/2): Management guided to low-to-mid-single-digit sales growth for 2026 with reaffirmed full-year adjusted EPS of $11.50-$11.90, but no specific next-gen products with named launch dates — guidance centers on pricing, productivity, and outperforming a 'softer-for-longer' demand environment [1]. R&amp;D Intensity (1/1): Above-average R&amp;D investment for the coatings industry in absolute terms, with proprietary formulation technology across thousands of SKUs and continued investment in sustainable low-VOC coatings.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Sherwin-Williams' stated purpose — 'We inspire and improve the world by coloring and protecting what matters' — is specific, thoughtful, and connects the company's work to a larger purpose beyond selling paint [1]. It has guided strategic decisions including the Valspar acquisition, sustainability investments, and community programs for over 150 years. Community Impact (2/2): The company has collected over 1 million gallons of paint for recycling through PaintCare, reduced employee injury rates by more than 50% since 2015, and publishes comprehensive sustainability reports covering circularity, climate, and occupational health [4]. As a major employer with 64,249 employees, SHW invests meaningfully in community programs. Employee Retention (1/2): Average retention for the industry. CEO Heidi Petz (appointed January 2024) has a Glassdoor approval rating of 39%, with Glassdoor reviews citing disconnect between corporate and store-level needs, budget-first priorities, and inconsistent day-to-day support [3]. However, the structured Leadership Development Program shows investment in people. Insider Buying (0/2): No evidence of meaningful net insider buying by executives in the last 12 months; new CEO compensation is heavily equity-based but no notable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sleeve. D/E of 309% hits the scoring floor, reflecting $14B+ total debt from the Valspar acquisition against a buyback-depleted equity base [5]. ROE of 62.4% is exceptional, driven by both strong profitability and leveraged capital structure. Revenue growth of 3.9% TTM and 3.7% 5-year CAGR fall well below the 10% targets, reflecting a mature housing and construction cycle [1][2]. Forward P/E of 25x is acceptable but PEG of 2.99 signals overvaluation relative to growth. Profit margin of 10.9% is moderate, below the 20% target but consistent with capital-intensive manufacturing. Q1 2026 showed improvement with 6.8% revenue growth and reaffirmed full-year guidance of adjusted EPS $11.50-$11.90 [1]. Liquidity floor easily cleared: 2.0M avg volume x ~$310 = $620M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Sherwin-Williams exhibits strong infinite game characteristics rooted in its 160-year history and consistent purpose. The company has survived and thrived through multiple economic cycles, world wars, and industry transformations while maintaining focus on paints and coatings. The Valspar acquisition demonstrated courageous long-term thinking. However, the recent CEO transition with low approval ratings, finite competitive language focused on market share dominance, and a conservative near-term posture temper the overall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'We inspire and improve the world by coloring and protecting what matters' has been validated by 160 years of consistent execution through the Great Depression, two World Wars, multiple housing busts, and numerous leadership transitions [1]. The purpose has driven strategic decisions including the Valspar acquisition (expanding global protection capabilities), PaintCare recycling programs (protecting the environment), and sustained investment in low-VOC and sustainable coatings. The 47-year dividend growth streak through recessions demonstrates endurance. Sinek would cite SHW's multi-generational consistency as evidence that the Just Cause IS the institution.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has 64,249 employees with a structured Leadership Development Program and reduced injury rates by 50%+ since 2015, suggesting investment in employee safety and development [4]. However, CEO Heidi Petz has only a 39% Glassdoor approval rating, and employee reviews cite disconnect between corporate and store-level needs, illogical rules, poor communication, and staffing capacity challenges [3]. Budget-first priorities and information silos undermine trust at the operational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Sherwin-Williams' competitive posture is dominance-oriented. As the world's largest paint company, management language consistently focuses on market share gains, outperforming peers, and distribution advantages rather than learning from competitors like PPG, Akzo Nobel, or Benjamin Moore [1]. The strategy centers on owning more stores and controlling more distribution — a finite game of accumulation rather than infinite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Valspar acquisition represented significant strategic evolution — expanding from primarily North American architectural coatings into a global platform including industrial, automotive, and packaging coatings [1]. The company has also adapted by building its company-owned store network (now 4,800+) when competitors retreated to wholesale channels. However, the core business model has remained fundamentally the same for 160 years: manufacture and sell paint and coatings.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$11.3B Valspar acquisition in 2017 was a courageous bet that doubled SHW's global coatings footprint and has been fully integrated [1]. The company continued investing through the 2020 pandemic, maintained its dividend growth streak through downturns, and opened hundreds of new stores when competitors were retreating. However, 2026 guidance is conservative and reactive — 'softer-for-longer' messaging suggests management is waiting for a recovery rather than creating one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Sherwin-Williams is the world's largest paint and coatings company with an unmatched distribution moat of 4,800+ company-operated stores, delivering Q1 2026 revenue of $5.67B (up 6.8% YoY) with adjusted EPS of $2.35 and reaffirmed full-year guidance of $11.50-$11.90 adjusted EPS [1]. The company's 47-year consecutive dividend growth streak, 62.4% ROE, and structural immunity to AI disruption make it a durable compounder. Operating cash flow of $3.4B+ provides financial flexibility despite the leveraged balance sheet, and the 160-year operating history through wars, depressions, and housing busts validates the endurance of the business model [2][5].</w:t>
      </w:r>
    </w:p>
    <w:p>
      <w:pPr>
        <w:spacing w:after="120"/>
      </w:pPr>
      <w:r>
        <w:rPr>
          <w:rFonts w:ascii="Calibri" w:hAnsi="Calibri"/>
          <w:b w:val="0"/>
          <w:color w:val="3A4A28"/>
          <w:sz w:val="20"/>
        </w:rPr>
        <w:t>The bear case centers on valuation, leverage, and growth headwinds. D/E of 309% — driven by the Valspar acquisition and aggressive buybacks — leaves minimal balance sheet flexibility if the housing downturn deepens [5]. Revenue growth of 3.9% TTM and 3.7% 5-year CAGR against a PEG of 2.99 suggest the stock is priced for a recovery that management describes as 'softer-for-longer' [1]. New CEO Heidi Petz (appointed January 2024) carries only a 39% Glassdoor approval rating, with employee reviews citing cultural disconnect between corporate and field operations [3]. Profit margin of 10.9% is constrained by raw material costs (TiO2, petrochemicals) subject to commodity cycles. The housing market remains subdued with mortgage rates suppressing the remodel and repaint activity that drives the highest-margin Paint Stores Group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cycle recovery — when mortgage rates decline, pent-up demand for remodeling and repainting typically drives a sharp rebound in Paint Stores Group volumes, the highest-margin segment generating outsized earnings leverage [1]</w:t>
      </w:r>
    </w:p>
    <w:p>
      <w:pPr>
        <w:spacing w:before="40" w:after="40"/>
        <w:ind w:left="283"/>
      </w:pPr>
      <w:r>
        <w:rPr>
          <w:rFonts w:ascii="Calibri" w:hAnsi="Calibri"/>
          <w:b/>
          <w:color w:val="4A6B25"/>
          <w:sz w:val="20"/>
        </w:rPr>
        <w:t xml:space="preserve">2. </w:t>
      </w:r>
      <w:r>
        <w:rPr>
          <w:rFonts w:ascii="Calibri" w:hAnsi="Calibri"/>
          <w:b w:val="0"/>
          <w:color w:val="3A4A28"/>
          <w:sz w:val="20"/>
        </w:rPr>
        <w:t>Q1 2026 revenue growth of 6.8% outperformed guidance, suggesting SHW may be gaining share even in a weak market, with reaffirmed full-year adjusted EPS of $11.50-$11.90 providing earnings floor [1]</w:t>
      </w:r>
    </w:p>
    <w:p>
      <w:pPr>
        <w:spacing w:before="40" w:after="40"/>
        <w:ind w:left="283"/>
      </w:pPr>
      <w:r>
        <w:rPr>
          <w:rFonts w:ascii="Calibri" w:hAnsi="Calibri"/>
          <w:b/>
          <w:color w:val="4A6B25"/>
          <w:sz w:val="20"/>
        </w:rPr>
        <w:t xml:space="preserve">3. </w:t>
      </w:r>
      <w:r>
        <w:rPr>
          <w:rFonts w:ascii="Calibri" w:hAnsi="Calibri"/>
          <w:b w:val="0"/>
          <w:color w:val="3A4A28"/>
          <w:sz w:val="20"/>
        </w:rPr>
        <w:t>Dividend Aristocrat trajectory — 47 consecutive years of dividend growth with a conservative 30.7% payout ratio and 12.1% 5-year dividend growth CAGR provides room for continued shareholder returns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housing downturn — management's 'softer-for-longer' outlook suggests the primary demand driver (residential repainting/remodeling) may remain depressed through 2026, limiting revenue growth to low-to-mid single digits [1]</w:t>
      </w:r>
    </w:p>
    <w:p>
      <w:pPr>
        <w:spacing w:before="40" w:after="40"/>
        <w:ind w:left="283"/>
      </w:pPr>
      <w:r>
        <w:rPr>
          <w:rFonts w:ascii="Calibri" w:hAnsi="Calibri"/>
          <w:b/>
          <w:color w:val="4A6B25"/>
          <w:sz w:val="20"/>
        </w:rPr>
        <w:t xml:space="preserve">2. </w:t>
      </w:r>
      <w:r>
        <w:rPr>
          <w:rFonts w:ascii="Calibri" w:hAnsi="Calibri"/>
          <w:b w:val="0"/>
          <w:color w:val="3A4A28"/>
          <w:sz w:val="20"/>
        </w:rPr>
        <w:t>Extreme leverage — D/E of 309% with $14B+ total debt creates vulnerability to interest rate risk and limits strategic flexibility for acquisitions, while a thin equity base amplifies any earnings volatility [5]</w:t>
      </w:r>
    </w:p>
    <w:p>
      <w:pPr>
        <w:spacing w:before="40" w:after="40"/>
        <w:ind w:left="283"/>
      </w:pPr>
      <w:r>
        <w:rPr>
          <w:rFonts w:ascii="Calibri" w:hAnsi="Calibri"/>
          <w:b/>
          <w:color w:val="4A6B25"/>
          <w:sz w:val="20"/>
        </w:rPr>
        <w:t xml:space="preserve">3. </w:t>
      </w:r>
      <w:r>
        <w:rPr>
          <w:rFonts w:ascii="Calibri" w:hAnsi="Calibri"/>
          <w:b w:val="0"/>
          <w:color w:val="3A4A28"/>
          <w:sz w:val="20"/>
        </w:rPr>
        <w:t>CEO transition execution risk — Heidi Petz assumed the CEO role in January 2024 with only 39% Glassdoor approval, with employee reviews citing disconnect between corporate strategy and store-level reality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Sherwin-Williams' core business — manufacturing and distributing physical paint and coatings — is structurally immune to AI disruption [1]. Paint stores require physical inventory, professional painters need hands-on product recommendations, and chemical formulation relies on proprietary physical processes that AI cannot replicate or substitute. The 4,800+ company-operated store network creates a physical distribution moat that is unbreachable by digital competitors. Industrial coatings for automotive, aerospace, and packaging require physical application and regulatory compliance that AI cannot automate away. Housing renovation and construction — the primary demand drivers — involve physical-world work that AI enhances rather than threatens. AI Opportunity (0/1): No evidence of meaningful AI-derived revenue. Technology investments focus on color-matching tools and e-commerce rather than AI products or services generating quantifiable incremental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Sherwin-Williams Q1 2026 Earnings Release — $5.67B revenue, adjusted EPS $2.35, full-year guidance reaffirmed, April 2026</w:t>
      </w:r>
    </w:p>
    <w:p>
      <w:pPr>
        <w:spacing w:before="20" w:after="20"/>
        <w:ind w:left="170"/>
      </w:pPr>
      <w:r>
        <w:rPr>
          <w:rFonts w:ascii="Calibri" w:hAnsi="Calibri"/>
          <w:b/>
          <w:color w:val="4A6B25"/>
          <w:sz w:val="15"/>
        </w:rPr>
        <w:t xml:space="preserve">2. </w:t>
      </w:r>
      <w:r>
        <w:rPr>
          <w:rFonts w:ascii="Calibri" w:hAnsi="Calibri"/>
          <w:b w:val="0"/>
          <w:color w:val="3A4A28"/>
          <w:sz w:val="17"/>
        </w:rPr>
        <w:t>Sherwin-Williams 2025 Year-End and Q4 Financial Results — $23.57B revenue, record adjusted EPS $11.43, January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Built In — Sherwin-Williams CEO approval rating (39%), leadership culture, employee sentiment,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Sherwin-Williams Sustainability Report — PaintCare recycling (1M+ gallons), injury rate reduction 50%+, ESG commitments, 2024-2025</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SHW Key Statistics, Debt Profile, Dividend History,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