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SKT</w:t>
      </w:r>
      <w:r>
        <w:rPr>
          <w:rFonts w:ascii="Calibri" w:hAnsi="Calibri"/>
          <w:b/>
          <w:color w:val="1A2010"/>
          <w:sz w:val="40"/>
        </w:rPr>
        <w:t xml:space="preserve">  Tanger Inc.</w:t>
      </w:r>
    </w:p>
    <w:p>
      <w:pPr>
        <w:spacing w:after="120"/>
      </w:pPr>
      <w:r>
        <w:rPr>
          <w:rFonts w:ascii="Calibri" w:hAnsi="Calibri"/>
          <w:b/>
          <w:color w:val="6E8450"/>
          <w:sz w:val="18"/>
        </w:rPr>
        <w:t>DIVIDEND SLEEVE · 2026-08-08 · Inspire: 50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Real Estate · Retail REIT - Outlet Centers · NYSE · United States</w:t>
      </w:r>
    </w:p>
    <w:p>
      <w:pPr>
        <w:spacing w:after="80"/>
      </w:pPr>
      <w:r>
        <w:rPr>
          <w:rFonts w:ascii="Calibri" w:hAnsi="Calibri"/>
          <w:b w:val="0"/>
          <w:color w:val="3A4A28"/>
          <w:sz w:val="20"/>
        </w:rPr>
        <w:t>Tanger Inc. is the only publicly traded REIT focused exclusively on upscale, open-air outlet and lifestyle shopping destinations. The company owns and operates 39 shopping centers across 22 U.S. states and Canada, encompassing approximately 14 million square feet of gross leasable area. Under CEO Stephen Yalof, the company has repositioned from 'Tanger Factory Outlet Centers' to 'Tanger Inc.,' expanding into open-air lifestyle destinations with food, entertainment, and experiential retail concepts.</w:t>
      </w:r>
    </w:p>
    <w:p>
      <w:r>
        <w:rPr>
          <w:rFonts w:ascii="Calibri" w:hAnsi="Calibri"/>
          <w:b/>
          <w:color w:val="6E8450"/>
          <w:sz w:val="18"/>
        </w:rPr>
        <w:t>700 Employees · https://www.tanger.inc</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Under CEO Yalof (joined 2020, CEO 2021), Tanger has executed a meaningful strategic repositioning from pure outlet operator to 'experience company' — rebranding from Tanger Factory Outlet Centers to Tanger Inc., acquiring mixed-use properties like Levis Commons Town Center ($60M, 301K sq ft, 8.5% first-year return) and Bridge Street Town Centre, and adding food, entertainment, and local business concepts that have driven occupancy to 96.6% [1][2]. AI Deployment (0/2): No AI-powered products or quantified AI-driven efficiency gains reported. Digital marketing initiatives exist but no AI-specific results disclosed [2]. Market Share (1/2): Tanger is the only pure-play outlet REIT in the U.S., a unique market position, though Simon Premium Outlets operates a larger outlet portfolio within its diversified REIT structure [3]. Product Pipeline (1/2): Active acquisition pipeline with $75-125M annual target, Q2 2026 acquisition of five Saks Off 5th leases for $4.3M, and 652 leases executed covering 3.3M sq ft over the trailing twelve months [1]. R&amp;D Intensity (0/1): Not applicable for a REIT; capital investment is directed toward property acquisitions and redevelopment rather than R&amp;D.</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Yalof has articulated a clear and somewhat distinctive purpose — transforming Tanger from a real estate operator into a curator of 'shopping destinations that entertain, inspire, and bring communities together' [2]. This is more specific than typical REIT boilerplate and has clearly shaped strategic decisions (rebranding, mixed-use acquisitions, experiential additions), but it has not been tested through multi-decade consistency. Community Impact (1/2): Tanger properties serve as community gathering places with seasonal events, holiday programs, and local business integration. The TangerKids initiative supports community charitable activities, though specific dollar commitments to charitable programs are not prominently disclosed [4]. Employee Retention (1/2): Named one of 'America's Greatest Midsize Workplaces' by Newsweek in 2026, and received Nareit's Gold Investor CARE Award for small-cap REITs three consecutive years (2024-2026), indicating above-average organizational health [2]. Insider Buying (0/2): No evidence of meaningful net insider buying by CEO Yalof or other executives in the last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financial metrics. Revenue of $627.75M TTM grew 10.8% YoY with Q2 2026 revenue of $156.4M up 11.2% versus prior year [1]. ROE of 19.4% exceeds the 15% target, though D/E of 278% ($1.95B total debt) scores near the 300% floor — typical REIT leverage [3]. Forward P/E of 34.97 is elevated on GAAP basis (high depreciation reduces GAAP earnings for REITs); Price/FFO of 16.06x and Core FFO of $0.64/share growing 10.3% YoY are more representative of REIT economics [1][3]. Profit margin of 20.2% meets the 20% target. GAAP payout ratio of 114.77% scores 0, though the FAD payout ratio of 64% is well-covered by cash flow. Consecutive dividend payment history of 5 years (reinstated post-COVID cut) and 5 consecutive years of growth with ~10% 5yr dividend CAGR partially offset the GAAP-distorted payout metric.</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Tanger under Yalof exhibits meaningful infinite game characteristics — the strategic pivot from outlet operator to experience curator is driven by a vision of long-term relevance rather than short-term earnings optimization. The company survived a near-death experience during COVID (when physical retail was existentially threatened), cut the dividend, and rebuilt with a clearer sense of purpose. The competitive mindset (Yalof's experience at Simon informing Tanger's differentiated approach) and workplace culture recognition suggest above-average organizational health for a mid-cap REIT.</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Yalof's vision of creating 'destinations that entertain, inspire, and bring communities together' is a genuine and distinctive purpose that has shaped real strategic decisions — rebranding, mixed-use acquisitions, experiential retail additions [2]. The transformation from 'Tanger Factory Outlet Centers' to 'Tanger Inc.' symbolizes a commitment to evolving beyond the legacy business model. However, the cause is still in its early innings under Yalof's leadership (CEO since 2021) and hasn't been validated through a full economic cycle or leadership transition.</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Named 'America's Greatest Midsize Workplaces' by Newsweek 2026 and received Nareit Gold CARE Award three consecutive years, indicating organizational health and community investment [2]. Yalof emphasizes communication that is 'clear and accessible to everyone' and creating 'an environment where everyone feels heard and valued.' The appointment of SVP People (Virginie-Julie Schena) signals investment in culture. However, specific retention or tenure data is not available for a ~700 employee REIT.</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Yalof previously served as CEO of Simon Premium Outlets — Tanger's largest competitor — and brings that experience to differentiate Tanger's approach rather than copy it. This is textbook worthy rival thinking: using intimate knowledge of a rival's strengths to clarify your own path [2]. Tanger competes by curating a distinct experience rather than trying to out-size Simon, which reflects an infinite competitive mindset.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Tanger survived the COVID-19 crisis that existentially threatened physical retail REITs — cutting the dividend, renegotiating leases, and emerging with a clearer strategic identity as an experience company rather than just an outlet operator [1][2]. The expansion into mixed-use lifestyle centers (Levis Commons, Bridge Street) represents genuine business model evolution. However, the core business remains open-air retail real estate — the company has adapted its approach within the same asset class rather than making a truly transformative pivot.</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Increasing the quarterly dividend 7% to $0.3125/share while simultaneously investing in growth through acquisitions ($60M Levis Commons at 8.5% cap rate) demonstrates balanced capital allocation under Yalof's leadership [1]. The decision to rebrand and reposition away from the company's 30-year outlet heritage required organizational courage. However, with $1B in available liquidity and a $4.7B market cap, these bets carry manageable risk relative to the company's resources.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Tanger delivered strong Q2 FY2026 results with revenue of $156.4M (up 11.2% YoY), Core FFO of $0.64/share (up 10.3% YoY), and same-center NOI growth of 3.5%, while raising FY2026 FFO guidance to $2.45-$2.52/share [1]. Occupancy of 96.6%, tenant sales of $487/sq ft (up 4.7%), and blended re-tenanting spreads of 28.4% demonstrate pricing power and demand durability in the outlet REIT format. The company's strategic transformation under CEO Yalof — from pure outlet operator to experiential destination curator — has driven the stock up 21% over the past year to a $4.7B market cap. The 3.18% dividend yield with FAD payout of 64%, 7% annual dividend increase, and $1B available liquidity provide income investors with a growing, well-covered distribution [1][3].</w:t>
      </w:r>
    </w:p>
    <w:p>
      <w:pPr>
        <w:spacing w:after="120"/>
      </w:pPr>
      <w:r>
        <w:rPr>
          <w:rFonts w:ascii="Calibri" w:hAnsi="Calibri"/>
          <w:b w:val="0"/>
          <w:color w:val="3A4A28"/>
          <w:sz w:val="20"/>
        </w:rPr>
        <w:t>The primary risk is valuation. At 34.97x forward GAAP P/E and 16.1x Price/FFO, SKT trades at a premium to the retail REIT sector despite a 4.42 PEG ratio that implies limited growth-adjusted value [3]. The D/E of 278% ($1.95B total debt, 4.7x net debt/EBITDA) is within REIT norms but leaves limited margin for error if interest rates remain elevated — the interest coverage ratio of 4.5x is adequate but not robust [1]. The COVID-era dividend cut means consecutive payment history is only 5 years, and the GAAP payout ratio of 114.77% reflects the structural earnings-versus-cash-flow disconnect in REITs that can spook generalist investors. Rising cremation rates in the retail landscape — specifically e-commerce penetration accelerating via AI-powered shopping assistants — could pressure outlet tenants over time, though the value-driven outlet format has historically been more resilient than enclosed malls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Continued same-center NOI growth of 2.75-4.25% (FY2026 guidance) with blended re-tenanting spreads of 28.4% demonstrating pricing power and potential for FFO acceleration beyond $2.52/share guidance</w:t>
      </w:r>
    </w:p>
    <w:p>
      <w:pPr>
        <w:spacing w:before="40" w:after="40"/>
        <w:ind w:left="283"/>
      </w:pPr>
      <w:r>
        <w:rPr>
          <w:rFonts w:ascii="Calibri" w:hAnsi="Calibri"/>
          <w:b/>
          <w:color w:val="4A6B25"/>
          <w:sz w:val="20"/>
        </w:rPr>
        <w:t xml:space="preserve">2. </w:t>
      </w:r>
      <w:r>
        <w:rPr>
          <w:rFonts w:ascii="Calibri" w:hAnsi="Calibri"/>
          <w:b w:val="0"/>
          <w:color w:val="3A4A28"/>
          <w:sz w:val="20"/>
        </w:rPr>
        <w:t>Strategic acquisition pipeline of mixed-use lifestyle centers (Levis Commons at 8.5% cap rate) diversifying beyond pure outlet format and expanding TAM for the 'Tanger Inc.' brand</w:t>
      </w:r>
    </w:p>
    <w:p>
      <w:pPr>
        <w:spacing w:before="40" w:after="40"/>
        <w:ind w:left="283"/>
      </w:pPr>
      <w:r>
        <w:rPr>
          <w:rFonts w:ascii="Calibri" w:hAnsi="Calibri"/>
          <w:b/>
          <w:color w:val="4A6B25"/>
          <w:sz w:val="20"/>
        </w:rPr>
        <w:t xml:space="preserve">3. </w:t>
      </w:r>
      <w:r>
        <w:rPr>
          <w:rFonts w:ascii="Calibri" w:hAnsi="Calibri"/>
          <w:b w:val="0"/>
          <w:color w:val="3A4A28"/>
          <w:sz w:val="20"/>
        </w:rPr>
        <w:t>Demographic tailwind from high consumer demand for value-priced, experiential shopping — tenant sales of $487/sq ft and 96.6% occupancy suggest sustained consumer engagement despite macro uncertainty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Forward P/E of 34.97 and PEG of 4.42 reflect premium valuation that leaves minimal margin of safety — any deceleration in same-center NOI growth below the 2.75% guidance floor could trigger meaningful multiple compression</w:t>
      </w:r>
    </w:p>
    <w:p>
      <w:pPr>
        <w:spacing w:before="40" w:after="40"/>
        <w:ind w:left="283"/>
      </w:pPr>
      <w:r>
        <w:rPr>
          <w:rFonts w:ascii="Calibri" w:hAnsi="Calibri"/>
          <w:b/>
          <w:color w:val="4A6B25"/>
          <w:sz w:val="20"/>
        </w:rPr>
        <w:t xml:space="preserve">2. </w:t>
      </w:r>
      <w:r>
        <w:rPr>
          <w:rFonts w:ascii="Calibri" w:hAnsi="Calibri"/>
          <w:b w:val="0"/>
          <w:color w:val="3A4A28"/>
          <w:sz w:val="20"/>
        </w:rPr>
        <w:t>D/E of 278% with $1.95B total debt and 4.5x interest coverage creates refinancing risk in a sustained high-rate environment — any significant increase in borrowing costs would compress FFO and pressure dividend coverage</w:t>
      </w:r>
    </w:p>
    <w:p>
      <w:pPr>
        <w:spacing w:before="40" w:after="40"/>
        <w:ind w:left="283"/>
      </w:pPr>
      <w:r>
        <w:rPr>
          <w:rFonts w:ascii="Calibri" w:hAnsi="Calibri"/>
          <w:b/>
          <w:color w:val="4A6B25"/>
          <w:sz w:val="20"/>
        </w:rPr>
        <w:t xml:space="preserve">3. </w:t>
      </w:r>
      <w:r>
        <w:rPr>
          <w:rFonts w:ascii="Calibri" w:hAnsi="Calibri"/>
          <w:b w:val="0"/>
          <w:color w:val="3A4A28"/>
          <w:sz w:val="20"/>
        </w:rPr>
        <w:t>Only 5 consecutive years of dividend payments post-COVID cut (down from 29 years pre-COVID) means the dividend track record must be rebuilt, and GAAP payout ratio of 114.77% may concern income-focused investors unfamiliar with REIT FFO-based coverage metrics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Tanger's core asset — physical real estate in high-traffic locations — is structurally immune to AI substitution. Shopping centers cannot be digitized, and the experiential retail model (food, entertainment, community gathering) is inherently physical [2]. The outlet format offers a specific defense against e-commerce: value pricing that's difficult to replicate online, with tenant sales of $487/sq ft (up 4.7% YoY) and 96.6% occupancy demonstrating sustained consumer demand for in-person outlet shopping [1]. However, Tanger's tenants (apparel retailers, fashion brands) face varying degrees of AI-enabled e-commerce competition, which could indirectly pressure lease demand or rental rates over time. No analyst has flagged AI as a direct threat to outlet center REITs. AI Opportunity (0/1): No AI-generated revenue. Tanger does not deploy AI products; digital marketing is standard for the REIT industry and does not constitute quantifiable AI revenue.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50</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Tanger Inc. Q2 FY2026 Earnings Release — BusinessWire / FinancialContent, August 4, 2026</w:t>
      </w:r>
    </w:p>
    <w:p>
      <w:pPr>
        <w:spacing w:before="20" w:after="20"/>
        <w:ind w:left="170"/>
      </w:pPr>
      <w:r>
        <w:rPr>
          <w:rFonts w:ascii="Calibri" w:hAnsi="Calibri"/>
          <w:b/>
          <w:color w:val="4A6B25"/>
          <w:sz w:val="15"/>
        </w:rPr>
        <w:t xml:space="preserve">2. </w:t>
      </w:r>
      <w:r>
        <w:rPr>
          <w:rFonts w:ascii="Calibri" w:hAnsi="Calibri"/>
          <w:b w:val="0"/>
          <w:color w:val="3A4A28"/>
          <w:sz w:val="17"/>
        </w:rPr>
        <w:t>CEO Stephen Yalof Leadership Profile — Nareit, RetailTouchPoints, AdamMendler.com, 2022-2026</w:t>
      </w:r>
    </w:p>
    <w:p>
      <w:pPr>
        <w:spacing w:before="20" w:after="20"/>
        <w:ind w:left="170"/>
      </w:pPr>
      <w:r>
        <w:rPr>
          <w:rFonts w:ascii="Calibri" w:hAnsi="Calibri"/>
          <w:b/>
          <w:color w:val="4A6B25"/>
          <w:sz w:val="15"/>
        </w:rPr>
        <w:t xml:space="preserve">3. </w:t>
      </w:r>
      <w:r>
        <w:rPr>
          <w:rFonts w:ascii="Calibri" w:hAnsi="Calibri"/>
          <w:b w:val="0"/>
          <w:color w:val="3A4A28"/>
          <w:sz w:val="17"/>
        </w:rPr>
        <w:t>StockAnalysis.com — SKT Key Statistics and Financial Data, accessed August 2026</w:t>
      </w:r>
    </w:p>
    <w:p>
      <w:pPr>
        <w:spacing w:before="20" w:after="20"/>
        <w:ind w:left="170"/>
      </w:pPr>
      <w:r>
        <w:rPr>
          <w:rFonts w:ascii="Calibri" w:hAnsi="Calibri"/>
          <w:b/>
          <w:color w:val="4A6B25"/>
          <w:sz w:val="15"/>
        </w:rPr>
        <w:t xml:space="preserve">4. </w:t>
      </w:r>
      <w:r>
        <w:rPr>
          <w:rFonts w:ascii="Calibri" w:hAnsi="Calibri"/>
          <w:b w:val="0"/>
          <w:color w:val="3A4A28"/>
          <w:sz w:val="17"/>
        </w:rPr>
        <w:t>Tanger Inc. ESG Reports and Community Initiatives — Tanger Investor Relations / PRNewswire, 2021-2026</w:t>
      </w:r>
    </w:p>
    <w:p>
      <w:pPr>
        <w:spacing w:before="20" w:after="20"/>
        <w:ind w:left="170"/>
      </w:pPr>
      <w:r>
        <w:rPr>
          <w:rFonts w:ascii="Calibri" w:hAnsi="Calibri"/>
          <w:b/>
          <w:color w:val="4A6B25"/>
          <w:sz w:val="15"/>
        </w:rPr>
        <w:t xml:space="preserve">5. </w:t>
      </w:r>
      <w:r>
        <w:rPr>
          <w:rFonts w:ascii="Calibri" w:hAnsi="Calibri"/>
          <w:b w:val="0"/>
          <w:color w:val="3A4A28"/>
          <w:sz w:val="17"/>
        </w:rPr>
        <w:t>Yahoo Finance — SKT Key Statistics,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