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SLG</w:t>
      </w:r>
      <w:r>
        <w:rPr>
          <w:rFonts w:ascii="Calibri" w:hAnsi="Calibri"/>
          <w:b/>
          <w:color w:val="1A2010"/>
          <w:sz w:val="40"/>
        </w:rPr>
        <w:t xml:space="preserve">  SL Green Realty Corp.</w:t>
      </w:r>
    </w:p>
    <w:p>
      <w:pPr>
        <w:spacing w:after="120"/>
      </w:pPr>
      <w:r>
        <w:rPr>
          <w:rFonts w:ascii="Calibri" w:hAnsi="Calibri"/>
          <w:b/>
          <w:color w:val="6E8450"/>
          <w:sz w:val="18"/>
        </w:rPr>
        <w:t>DIVIDEND SLEEVE · 2026-08-02 · Inspire: 60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SL Green Realty Corp. is Manhattan's largest office landlord, a fully integrated real estate investment trust (REIT) that acquires, manages, and repositions commercial office properties in New York City. The company holds interests in approximately 28.1 million square feet of wholly owned and joint-venture office space across midtown Manhattan. Founded in 1997 and led by CEO Marc Holliday since 2004.</w:t>
      </w:r>
    </w:p>
    <w:p>
      <w:r>
        <w:rPr>
          <w:rFonts w:ascii="Calibri" w:hAnsi="Calibri"/>
          <w:b/>
          <w:color w:val="6E8450"/>
          <w:sz w:val="18"/>
        </w:rPr>
        <w:t>1,289 Employees · https://slgreen.com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One Vanderbilt (completed 2020) was a transformative $3.3B ground-up development that set a new standard for Manhattan trophy office towers with its public observation deck and Grand Central Transit connection [1]. In 2025, SL Green launched the SLG Opportunistic Debt Fund, raising $1.5B and surpassing the $1.0B target — a significant diversification into debt/preferred equity investing alongside traditional ownership [2]. AI Deployment (0/2): SL Green adopted IBM technology for sustainability data management across its portfolio, but this is operational tooling, not AI-powered products or quantified AI-driven revenue [3]. No evidence of AI products shipping or AI revenue generation. Market Share (2/2): Manhattan's largest office landlord by square footage with a dominant position in Midtown. Q2 2026 signed 53 Manhattan office leases totaling 445,161 sq ft with average starting rents up 18% over previous escalated rents [1]. Same-store occupancy reached 94.7% as of June 30, 2026. Product Pipeline (1/2): 346 Madison Avenue development integrates AI-ready digital infrastructure and carbon-capture technology. Management projects 95% occupancy by year-end 2026 and same-store NOI growth exceeding 10% in 2027 [1]. R&amp;D Intensity (0/1): REITs do not have traditional R&amp;D. Capital improvements and sustainability investments are above average but not distinguished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SL Green positions itself as 'NYC's Largest Commercial Landlord' — a description of scale rather than purpose [2]. The company exists to own, manage, and profit from Manhattan office real estate. While One Vanderbilt's public spaces demonstrate civic contribution, the core mission is transactional and interchangeable with any office REIT peer. Community Impact (1/2): ENERGY STAR Partner of the Year — Sustained Excellence awards (2018-2021), IBM sustainability technology deployment, CDP Climate Change score of 'B' tied for highest among U.S. office REITs, and compliance with NYC Local Law 97 carbon reduction mandates [3]. These represent genuine environmental investment but are largely regulatory compliance-driven. Employee Retention (2/2): Senior executives have an average tenure exceeding 20 years — exceptional organizational stability [2]. CEO Marc Holliday has led the company since 2004 (22 years). Harrison Sitomer's promotion to President and CIO indicates strong internal talent development. The lean 1,289-person workforce managing a $3.5B+ portfolio reflects high trust in team capability. Insider Buying (0/2): No evidence of significant net insider buying in the last 12 months. The company repurchased common stock at an average price of $49.67 in Q2 2026 [1], but this is corporate buyback activity rather than individual insider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Q2 2026 total revenues of $264.0M were up 9.1% from $241.9M in Q2 2025, with Manhattan same-store cash NOI increasing 4.3% YoY [1]. FFO guidance raised significantly to $5.60-$5.90/share from $4.40-$4.70, reflecting operational momentum [1]. D/E of 135% is elevated but typical for leveraged REITs (score 0.72). ROE of 0.61% is essentially zero due to GAAP depreciation distortions (score 0.04). Revenue growth YoY of 10.2% (FY2025 $1.003B vs FY2024 $910.4M) scores 1.0. Revenue growth 5yr CAGR of approximately -2.6% scores 0.16 due to portfolio dispositions and COVID impact on revenue base. Forward P/E excluded (negative GAAP EPS; P/FFO of ~9.0x is attractive but not the rubric metric). Profit margin of 3.87% scores 0.19. On dividend metrics: consecutive years paid 27+ (1.0, 2x weight), consecutive years growth ~5 (0.50), 5yr dividend growth CAGR of ~15% recovery from COVID cut (1.0, 2x weight), FFO-based payout ratio ~43% (0.95). Liquidity floor cleared: 1.1M avg volume x $52 = $57.2M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SL Green under Marc Holliday is a skilled finite player — Manhattan's largest and most aggressive office landlord, consistently focused on scale, financial optimization, and competitive dominance. The company's 28-year track record demonstrates remarkable execution through multiple devastating cycles (9/11, GFC, COVID), and the 20+ year average senior executive tenure reflects exceptional organizational stability. However, the company's purpose is fundamentally commercial (being the biggest) rather than cause-driven (advancing something bigger than the company), placing it firmly in finite territory.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SL Green's identity centers on being Manhattan's largest office landlord — a competitive position statement, not a vision of a better future [2]. 'NYC's Largest Commercial Landlord' is a ranking, not a Just Cause. While One Vanderbilt's public observation deck and Grand Central connection demonstrate civic contribution, these are amenities in service of premium rents rather than expressions of a purpose that transcends profit. The company exists to maximize real estate value for shareholders, a perfectly legitimate but finite objective.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average tenure of 20+ years for senior executives is exceptional by any industry standard [2]. CEO Holliday's 22-year leadership provides extraordinary continuity. Harrison Sitomer's promotion to President and CIO demonstrates systematic internal talent development. The lean 1,289-employee workforce managing a multi-billion-dollar Manhattan portfolio functions only with high levels of trust and delegation. This is one of the strongest trusting teams indicators in the screening universe.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SL Green's competitive language centers on being 'the largest' and 'dominant' in Manhattan — framing focused on competitive position rather than self-improvement [2]. Holliday is widely described as 'one of the most aggressive' players in NYC real estate. While the company's leasing strategy emphasizes quality, the competitive mindset is oriented toward winning market position rather than learning from rivals like Brookfield, Vornado, or RXR.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SL Green has evolved from a pure office acquisition REIT to include ground-up trophy development (One Vanderbilt), a $1.5B opportunistic debt fund, and AI-ready building design (346 Madison) [1][2]. The company navigated the post-COVID crisis by disposing of non-core holdings and doubling down on premium assets. These represent meaningful adaptations within the REIT framework but not transformative reinvention — the core business of owning Manhattan office space is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SL Green demonstrated meaningful courage committing to One Vanderbilt — a $3.3B ground-up development during a period of skepticism about Manhattan office supply, delivering it during COVID when the office market was in crisis [1]. Maintaining the dividend through the pandemic (though later cutting it) showed conviction. The $1.5B Opportunistic Debt Fund launch was a bold diversification. However, the persistent dividend cuts from ~$6.27 to $2.47 over four years reflect financial constraint rather than strategic sacrifice, and no evidence of purpose-driven courageous decision-making beyond financial optimization exists.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SL Green offers deep value exposure to Manhattan's accelerating office recovery. Q2 2026 revenues grew 9.1% to $264.0M with same-store cash NOI up 4.3% and occupancy reaching 94.7%, while FFO guidance was raised 27% to $5.60-$5.90/share from $4.40-$4.70 [1]. At $52/share and ~9x P/FFO, the stock trades at a substantial discount to the 15-year office REIT average. The 6.25% dividend yield with 5 consecutive years of growth provides attractive income, and management projects occupancy reaching 95% by year-end 2026 with same-store NOI growth exceeding 10% in 2027 [1]. Q2 leasing of 445,161 sq ft with 18% rent mark-to-market increases confirms demand recovery for premium Manhattan office space. The $1.5B Opportunistic Debt Fund provides fee income diversification [2].</w:t>
      </w:r>
    </w:p>
    <w:p>
      <w:pPr>
        <w:spacing w:after="120"/>
      </w:pPr>
      <w:r>
        <w:rPr>
          <w:rFonts w:ascii="Calibri" w:hAnsi="Calibri"/>
          <w:b w:val="0"/>
          <w:color w:val="3A4A28"/>
          <w:sz w:val="20"/>
        </w:rPr>
        <w:t>The bear case centers on structural headwinds to office demand and financial fragility under GAAP. The company reported a net loss of $26.5M ($0.38/share) in Q2 2026 — GAAP losses persist despite strong FFO due to depreciation, impairment, and interest expense on a highly leveraged 135% D/E balance sheet [1][4]. The dividend was cut 60%+ from its 2019 peak of ~$3.64/share to $2.47, and the GAAP payout ratio suggests limited room for increases without sustained FFO growth. Remote and hybrid work remain structural threats — even as trophy buildings recover, AI-driven productivity improvements could further reduce per-employee office space demand. Interest rate sensitivity is acute: SL Green's leveraged model means higher-for-longer rates directly compress FFO and limit financial flexibility. The 5-year revenue CAGR of -2.6% reflects a shrinking portfolio base from dispositions, and near-total concentration in Manhattan office real estate creates geographic and property-type risk with no diversification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FFO guidance raised 27% to $5.60-$5.90/share with management projecting 95% occupancy by year-end 2026 and same-store NOI growth exceeding 10% in 2027, driven by 18% rent mark-to-market increases on replacement leases [1]</w:t>
      </w:r>
    </w:p>
    <w:p>
      <w:pPr>
        <w:spacing w:before="40" w:after="40"/>
        <w:ind w:left="283"/>
      </w:pPr>
      <w:r>
        <w:rPr>
          <w:rFonts w:ascii="Calibri" w:hAnsi="Calibri"/>
          <w:b/>
          <w:color w:val="4A6B25"/>
          <w:sz w:val="20"/>
        </w:rPr>
        <w:t xml:space="preserve">2. </w:t>
      </w:r>
      <w:r>
        <w:rPr>
          <w:rFonts w:ascii="Calibri" w:hAnsi="Calibri"/>
          <w:b w:val="0"/>
          <w:color w:val="3A4A28"/>
          <w:sz w:val="20"/>
        </w:rPr>
        <w:t>346 Madison Avenue development integrating AI-ready digital infrastructure and carbon-capture technology to capture emerging demand from technology and AI tenants, with a leading AI company signing a 98,420 sq ft 10-year lease [2]</w:t>
      </w:r>
    </w:p>
    <w:p>
      <w:pPr>
        <w:spacing w:before="40" w:after="40"/>
        <w:ind w:left="283"/>
      </w:pPr>
      <w:r>
        <w:rPr>
          <w:rFonts w:ascii="Calibri" w:hAnsi="Calibri"/>
          <w:b/>
          <w:color w:val="4A6B25"/>
          <w:sz w:val="20"/>
        </w:rPr>
        <w:t xml:space="preserve">3. </w:t>
      </w:r>
      <w:r>
        <w:rPr>
          <w:rFonts w:ascii="Calibri" w:hAnsi="Calibri"/>
          <w:b w:val="0"/>
          <w:color w:val="3A4A28"/>
          <w:sz w:val="20"/>
        </w:rPr>
        <w:t>SLG Opportunistic Debt Fund surpassing $1.5B in capital raised (vs $1.0B target), providing fee-based revenue diversification and reducing reliance on cyclical office rental income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decline in office demand from remote/hybrid work trends compounded by AI-driven productivity gains that could permanently reduce per-employee office space needs, undermining the Manhattan recovery narrative [2]</w:t>
      </w:r>
    </w:p>
    <w:p>
      <w:pPr>
        <w:spacing w:before="40" w:after="40"/>
        <w:ind w:left="283"/>
      </w:pPr>
      <w:r>
        <w:rPr>
          <w:rFonts w:ascii="Calibri" w:hAnsi="Calibri"/>
          <w:b/>
          <w:color w:val="4A6B25"/>
          <w:sz w:val="20"/>
        </w:rPr>
        <w:t xml:space="preserve">2. </w:t>
      </w:r>
      <w:r>
        <w:rPr>
          <w:rFonts w:ascii="Calibri" w:hAnsi="Calibri"/>
          <w:b w:val="0"/>
          <w:color w:val="3A4A28"/>
          <w:sz w:val="20"/>
        </w:rPr>
        <w:t>Financial fragility — D/E of 135%, negative GAAP ROE, persistent net losses, and a 60%+ dividend cut since 2019 reflect balance sheet stress that limits flexibility if the recovery stalls or rates remain elevated [4]</w:t>
      </w:r>
    </w:p>
    <w:p>
      <w:pPr>
        <w:spacing w:before="40" w:after="40"/>
        <w:ind w:left="283"/>
      </w:pPr>
      <w:r>
        <w:rPr>
          <w:rFonts w:ascii="Calibri" w:hAnsi="Calibri"/>
          <w:b/>
          <w:color w:val="4A6B25"/>
          <w:sz w:val="20"/>
        </w:rPr>
        <w:t xml:space="preserve">3. </w:t>
      </w:r>
      <w:r>
        <w:rPr>
          <w:rFonts w:ascii="Calibri" w:hAnsi="Calibri"/>
          <w:b w:val="0"/>
          <w:color w:val="3A4A28"/>
          <w:sz w:val="20"/>
        </w:rPr>
        <w:t>Near-total geographic and property-type concentration in Manhattan office real estate with no diversification, making SLG uniquely vulnerable to NYC-specific economic, regulatory (Local Law 97), or tax policy changes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SL Green's core business — owning, managing, and leasing physical Class A office buildings in Manhattan — is inherently protected from AI substitution. AI cannot replace physical office space, building infrastructure, or the in-person workplace experience that premium Manhattan tenants demand [2]. The company partially mitigates AI-driven remote work risk by targeting AI and tech tenants: a leading AI company signed a new 10-year, 98,420 sq ft lease, and 346 Madison integrates AI-ready digital infrastructure [2]. Trophy asset strategy provides flight-to-quality protection as AI-era companies consolidate in premium spaces. However, AI-driven productivity gains could structurally reduce headcount at financial and professional services firms, compressing per-employee office space demand over the medium term. AI Opportunity (0/1): SL Green does not generate AI revenue. IBM sustainability technology deployment and AI tenant acquisition represent operational adoption and landlord strategy, not AI-derived revenue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SL Green Realty Q2 2026 Earnings Release — Revenue $264.0M (+9.1%), FFO $1.43/share, EPS -$0.38, FFO guidance raised to $5.60-$5.90, occupancy 94.7%, 445K sq ft leased, July 2026</w:t>
      </w:r>
    </w:p>
    <w:p>
      <w:pPr>
        <w:spacing w:before="20" w:after="20"/>
        <w:ind w:left="170"/>
      </w:pPr>
      <w:r>
        <w:rPr>
          <w:rFonts w:ascii="Calibri" w:hAnsi="Calibri"/>
          <w:b/>
          <w:color w:val="4A6B25"/>
          <w:sz w:val="15"/>
        </w:rPr>
        <w:t xml:space="preserve">2. </w:t>
      </w:r>
      <w:r>
        <w:rPr>
          <w:rFonts w:ascii="Calibri" w:hAnsi="Calibri"/>
          <w:b w:val="0"/>
          <w:color w:val="3A4A28"/>
          <w:sz w:val="17"/>
        </w:rPr>
        <w:t>SL Green Leadership and Strategy — CEO Marc Holliday (22-year tenure), Harrison Sitomer promoted to President/CIO, $1.5B Debt Fund, AI tenant lease, 20+ year avg senior exec tenure, slgreen.com, 2026</w:t>
      </w:r>
    </w:p>
    <w:p>
      <w:pPr>
        <w:spacing w:before="20" w:after="20"/>
        <w:ind w:left="170"/>
      </w:pPr>
      <w:r>
        <w:rPr>
          <w:rFonts w:ascii="Calibri" w:hAnsi="Calibri"/>
          <w:b/>
          <w:color w:val="4A6B25"/>
          <w:sz w:val="15"/>
        </w:rPr>
        <w:t xml:space="preserve">3. </w:t>
      </w:r>
      <w:r>
        <w:rPr>
          <w:rFonts w:ascii="Calibri" w:hAnsi="Calibri"/>
          <w:b w:val="0"/>
          <w:color w:val="3A4A28"/>
          <w:sz w:val="17"/>
        </w:rPr>
        <w:t>SL Green ESG Report 2025 — IBM sustainability technology, ENERGY STAR Partner of the Year, CDP Climate score, Local Law 97 compliance, green leases, 2022-2025</w:t>
      </w:r>
    </w:p>
    <w:p>
      <w:pPr>
        <w:spacing w:before="20" w:after="20"/>
        <w:ind w:left="170"/>
      </w:pPr>
      <w:r>
        <w:rPr>
          <w:rFonts w:ascii="Calibri" w:hAnsi="Calibri"/>
          <w:b/>
          <w:color w:val="4A6B25"/>
          <w:sz w:val="15"/>
        </w:rPr>
        <w:t xml:space="preserve">4. </w:t>
      </w:r>
      <w:r>
        <w:rPr>
          <w:rFonts w:ascii="Calibri" w:hAnsi="Calibri"/>
          <w:b w:val="0"/>
          <w:color w:val="3A4A28"/>
          <w:sz w:val="17"/>
        </w:rPr>
        <w:t>Yahoo Finance and StockAnalysis — SLG key statistics, D/E, ROE, revenue history, dividend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