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SMR</w:t>
      </w:r>
      <w:r>
        <w:rPr>
          <w:rFonts w:ascii="Calibri" w:hAnsi="Calibri"/>
          <w:b/>
          <w:color w:val="1A2010"/>
          <w:sz w:val="40"/>
        </w:rPr>
        <w:t xml:space="preserve">  NuScale Power Corporation</w:t>
      </w:r>
    </w:p>
    <w:p>
      <w:pPr>
        <w:spacing w:after="120"/>
      </w:pPr>
      <w:r>
        <w:rPr>
          <w:rFonts w:ascii="Calibri" w:hAnsi="Calibri"/>
          <w:b/>
          <w:color w:val="6E8450"/>
          <w:sz w:val="18"/>
        </w:rPr>
        <w:t>GROWTH SLEEVE · 2026-08-11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NYSE · United States</w:t>
      </w:r>
    </w:p>
    <w:p>
      <w:pPr>
        <w:spacing w:after="80"/>
      </w:pPr>
      <w:r>
        <w:rPr>
          <w:rFonts w:ascii="Calibri" w:hAnsi="Calibri"/>
          <w:b w:val="0"/>
          <w:color w:val="3A4A28"/>
          <w:sz w:val="20"/>
        </w:rPr>
        <w:t>NuScale Power is the first and only company to receive U.S. Nuclear Regulatory Commission (NRC) Standard Design Approval for a small modular reactor (SMR), positioning it as the global leader in advanced nuclear technology. The company's VOYGR SMR power plant design uses a scalable modular approach with individual 77 MWe modules that can be combined into multi-module configurations for flexible deployment. Under CEO John Hopkins (since 2012), NuScale went public via SPAC merger in 2022 and is pursuing international deployment opportunities after the cancellation of the Idaho Carbon Free Power Project (CFPP) in 2023. The company reported FY2026 estimated revenue of ~$36-40M with TTM net losses of approximately $386M, and holds $1.9B in liquidity. NuScale is actively targeting AI data center power supply as a growth market for its clean baseload nuclear technology.</w:t>
      </w:r>
    </w:p>
    <w:p>
      <w:r>
        <w:rPr>
          <w:rFonts w:ascii="Calibri" w:hAnsi="Calibri"/>
          <w:b/>
          <w:color w:val="6E8450"/>
          <w:sz w:val="18"/>
        </w:rPr>
        <w:t>500 Employees · https://www.nuscalepower.com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NuScale achieved a genuinely historic regulatory milestone — the first and only NRC Standard Design Approval for an SMR, a process requiring years of engineering validation and safety review [2]. This achievement establishes a years-long regulatory moat, as competitors (GE-Hitachi BWRX-300, Oklo, X-energy, Rolls-Royce SMR) remain earlier in the licensing process. However, no commercial reactor has been built or operated — the Idaho CFPP project was cancelled in 2023, and revenue estimates were revised down 60% in 90 days (from $99.87M to $39.69M for FY2026), demonstrating the gap between regulatory achievement and commercial execution [1]. AI Deployment (0/2): No AI-powered products or AI-driven internal efficiency gains identified. NuScale has published thought leadership on 'When Move Fast Meets Nuclear Safety Culture in the Age of AI' but this is strategy commentary, not AI deployment [2]. Market Share (1/2): NuScale holds the only NRC-approved SMR design, giving it first-mover regulatory position in the U.S. market. In the global SMR market, the company has active discussions with international partners, but with zero operating reactors, operational market share is 0%. The regulatory lead is the sole basis for the market position score. Product Pipeline (1/2): The VOYGR power plant design is approved and available for deployment, with international customer discussions ongoing and AI data center power supply identified as a new target market. However, the CFPP cancellation and massive revenue estimate downward revisions indicate the pipeline-to-revenue conversion remains highly uncertain. R&amp;D Intensity (1/1): NuScale is fundamentally an R&amp;D company — the vast majority of its ~$386M annual spending is engineering development, reactor design iteration, and regulatory compliance, far exceeding any industry R&amp;D intensity benchmark.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NuScale's purpose — enabling clean, reliable, carbon-free nuclear energy to address climate change and energy security — is specific, thoughtful, and connects nuclear engineering to a genuinely larger purpose [2]. The company explicitly frames the challenge as 'bridging the cultural divide between high-tech urgency and nuclear safety discipline,' demonstrating intellectual depth about the societal role of its technology. CEO John Hopkins has led since 2012, providing 14 years of consistent purpose articulation through the NRC approval process, SPAC listing, and CFPP cancellation. However, the purpose has not yet been validated by commercial deployment — the CFPP cancellation suggests execution has not yet matched aspiration. Community Impact (0/2): No specific charitable programs, foundation activities, or community investment initiatives were identified beyond nuclear energy's general contribution to clean energy goals [3]. Employee Retention (0/2): No employee retention or tenure data was identified for this approximately 500-person company.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NuScale's infrastructure score is constrained by pre-commercial economics — the company has minimal revenue (~$36M FY2026 estimate) against massive operating losses (~$386M TTM), producing deeply negative profit margin and ROE that both score 0 [1][4]. Revenue growth YoY of approximately 14% scores 1.0, exceeding the 10% target, though revenue is extremely lumpy and project-dependent (Q2 2026 revenue plummeted 98.8% YoY due to milestone timing) [1]. The balance sheet benefits from $1.9B in liquidity with limited traditional debt, giving an estimated D/E well below the 70% target (scoring 1.0). Forward P/E and PEG are not applicable with negative earnings. The stock passes the liquidity floor with estimated daily trading value of approximately $70M ($8.92 × ~8M shares daily). Revenue growth 5yr CAGR is excluded as the company was effectively pre-revenue 5 years ago.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NuScale Power demonstrates several genuine infinite game characteristics. CEO John Hopkins has led the company since 2012 through a 14-year marathon of NRC regulatory approval, SPAC listing, project cancellation, and continued persistence — the kind of long-term commitment Sinek values most. The cause — clean nuclear energy — is inherently long-term and service-oriented. The willingness to invest hundreds of millions through years of zero revenue pursuing NRC approval demonstrates pattern courage. However, the CFPP cancellation raises questions about whether the cause can survive commercial failure, and the company has not yet faced the existential flexibility test of choosing to pivot away from something that was working. With zero operating reactors and $1.9B in liquidity being consumed by losses, the company is still proving whether its infinite game aspirations can survive finite game financial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Clean, carbon-free nuclear energy for a decarbonized future meets most of Sinek's criteria for a Just Cause — it is resilient (the energy transition will take decades), inclusive (benefits all of society), service-oriented (clean energy and energy security), idealistic (a carbon-free world), and big (climate change is an infinite challenge) [2]. CEO Hopkins has consistently articulated this purpose since 2012, and the company's blog on 'bridging the cultural divide between high-tech urgency and nuclear safety discipline' demonstrates sophisticated thinking about its societal role. However, the cause has not yet been validated by commercial deployment — the CFPP cancellation in 2023 was a significant setback, and no NuScale reactor has generated electricity, limiting the evidence that the cause drives successful execution rather than just sustained investment.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John Hopkins' 14-year tenure provides leadership stability that is unusual for pre-revenue technology companies and suggests genuine organizational commitment beyond financial optimization. The company added two new board members in 2026 to support growth, indicating deliberate governance maturation [2]. However, with approximately 500 employees and no operating reactor, the organizational culture has not been tested by the operational demands of actually running nuclear power plants. No specific retention, tenure, or employee satisfaction data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NuScale's competitive posture acknowledges other SMR developers (GE-Hitachi BWRX-300, Oklo, X-energy) as advancing the broader nuclear energy cause rather than as threats to be destroyed. The company's 'bridging cultures' framework explicitly respects the nuclear industry's conservative safety approach while engaging with tech sector urgency — demonstrating openness to learning from different competitive philosophies [2]. The competitive framing focuses on advancing nuclear energy broadly rather than winning against specific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NuScale has not demonstrated existential flexibility as Sinek defines it. The company has pursued the same SMR technology with the same core design since inception — a single-product company that has not yet faced the test of choosing to abandon something that was working. The CFPP cancellation was an imposed setback, not a chosen strategic pivot. The shift to targeting AI data center power is a market repositioning, not a fundamental business model transformation. NuScale is too early-stage to have demonstrated the pattern of self-disruption that earns points in this category.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NuScale demonstrates a sustained pattern of courageous long-term investment that exemplifies Sinek's description. The company invested hundreds of millions of dollars and over a decade pursuing NRC regulatory approval — the first company ever to achieve this for an SMR design — with no guarantee of success and no near-term revenue [2]. After the CFPP cancellation in 2023 destroyed the company's first commercial project, leadership persisted rather than retrenching, maintaining R&amp;D investment and pivoting to international and AI data center opportunities. The choice to continue operating at $386M annual losses while pursuing nuclear deployment, against market skepticism reflected in the stock's decline from $57.42 to $8.92, demonstrates willingness to sacrifice near-term results for the long-term cause. This is genuine courage, not financial engineering.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NuScale Power at $8.92 ($3.25B market cap) is the highest-conviction bet on nuclear energy for the AI era — the first and only NRC-approved SMR design gives the company a regulatory moat that competitors cannot replicate in less than 5-7 years [2]. The AI data center buildout creates secular demand for clean baseload electricity that nuclear is uniquely positioned to provide — 24/7 carbon-free power co-located with data centers, solving the intermittency problem that limits solar and wind. Microsoft, Google, and Amazon have all announced nuclear power procurement strategies, validating the market opportunity. With $1.9B in liquidity, NuScale has 4-5 years of runway to convert its regulatory advantage into commercial contracts [4]. CEO John Hopkins' 14-year tenure provides leadership continuity rarely seen in pre-revenue companies, and the Inspire Impact Score of 57 (ALIGNED) makes NuScale one of the most faith-compatible clean energy investments available.</w:t>
      </w:r>
    </w:p>
    <w:p>
      <w:pPr>
        <w:spacing w:after="120"/>
      </w:pPr>
      <w:r>
        <w:rPr>
          <w:rFonts w:ascii="Calibri" w:hAnsi="Calibri"/>
          <w:b w:val="0"/>
          <w:color w:val="3A4A28"/>
          <w:sz w:val="20"/>
        </w:rPr>
        <w:t>The bear case is formidable. NuScale has zero operating reactors and approximately $36-40M in estimated FY2026 revenue, producing TTM net losses of ~$386M — the company is burning $1M+ per day with no near-term profitability path [1]. Revenue estimates collapsed 60% in 90 days (from $99.87M to $39.69M for FY2026), and Q2 2026 revenue plummeted 98.8% YoY, demonstrating extreme revenue lumpiness and contract execution uncertainty. The CFPP cancellation in 2023 destroyed the company's first commercial project and remains the primary evidence of execution risk. The stock has declined from $57.42 to $8.92 (-84% from 52-week high), and the $3.25B market cap on $36M revenue implies an extreme 90x revenue multiple that prices in decades of growth that may never materialize. Nuclear energy faces persistent ESG debate — while carbon-free, concerns over uranium mining, waste disposal, and safety continue to divide investors and policymakers [3]. Competitors including GE-Hitachi, X-energy, Oklo, and Rolls-Royce SMR are advancing their own designs, and NuScale's first-mover advantage narrows with each year that passes without a commercial deployment. The $1.9B liquidity runway, while substantial, is finite and will require additional capital raises if the commercial timeline extends beyond current projections.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demand creating secular urgency for clean baseload electricity — Microsoft, Google, and Amazon nuclear procurement announcements validate the market opportunity that NuScale's NRC-approved SMR design is uniquely positioned to capture [2]</w:t>
      </w:r>
    </w:p>
    <w:p>
      <w:pPr>
        <w:spacing w:before="40" w:after="40"/>
        <w:ind w:left="283"/>
      </w:pPr>
      <w:r>
        <w:rPr>
          <w:rFonts w:ascii="Calibri" w:hAnsi="Calibri"/>
          <w:b/>
          <w:color w:val="4A6B25"/>
          <w:sz w:val="20"/>
        </w:rPr>
        <w:t xml:space="preserve">2. </w:t>
      </w:r>
      <w:r>
        <w:rPr>
          <w:rFonts w:ascii="Calibri" w:hAnsi="Calibri"/>
          <w:b w:val="0"/>
          <w:color w:val="3A4A28"/>
          <w:sz w:val="20"/>
        </w:rPr>
        <w:t>International deployment opportunities accelerating as countries pursue energy security and decarbonization, with NuScale's regulatory head start (only NRC-approved SMR) providing competitive advantage in markets that recognize U.S. regulatory standards [1]</w:t>
      </w:r>
    </w:p>
    <w:p>
      <w:pPr>
        <w:spacing w:before="40" w:after="40"/>
        <w:ind w:left="283"/>
      </w:pPr>
      <w:r>
        <w:rPr>
          <w:rFonts w:ascii="Calibri" w:hAnsi="Calibri"/>
          <w:b/>
          <w:color w:val="4A6B25"/>
          <w:sz w:val="20"/>
        </w:rPr>
        <w:t xml:space="preserve">3. </w:t>
      </w:r>
      <w:r>
        <w:rPr>
          <w:rFonts w:ascii="Calibri" w:hAnsi="Calibri"/>
          <w:b w:val="0"/>
          <w:color w:val="3A4A28"/>
          <w:sz w:val="20"/>
        </w:rPr>
        <w:t>First commercial contract announcement for reactor deployment would transform the investment narrative from pre-revenue speculation to validated commercial execution, potentially triggering significant multiple re-rating given the $3.25B market cap on minimal current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operating reactors and extreme revenue lumpiness (Q2 2026 revenue -98.8% YoY, FY2026 estimates revised down 60% in 90 days) demonstrate that NRC design approval has not translated into commercial deployment or predictable revenue — the CFPP cancellation remains the primary execution precedent [1]</w:t>
      </w:r>
    </w:p>
    <w:p>
      <w:pPr>
        <w:spacing w:before="40" w:after="40"/>
        <w:ind w:left="283"/>
      </w:pPr>
      <w:r>
        <w:rPr>
          <w:rFonts w:ascii="Calibri" w:hAnsi="Calibri"/>
          <w:b/>
          <w:color w:val="4A6B25"/>
          <w:sz w:val="20"/>
        </w:rPr>
        <w:t xml:space="preserve">2. </w:t>
      </w:r>
      <w:r>
        <w:rPr>
          <w:rFonts w:ascii="Calibri" w:hAnsi="Calibri"/>
          <w:b w:val="0"/>
          <w:color w:val="3A4A28"/>
          <w:sz w:val="20"/>
        </w:rPr>
        <w:t>The $3.25B market cap on ~$36M estimated FY2026 revenue implies a ~90x revenue multiple that requires decades of profitable growth to justify, while $386M TTM losses are consuming $1.9B liquidity runway at $1M+ per day [1][4]</w:t>
      </w:r>
    </w:p>
    <w:p>
      <w:pPr>
        <w:spacing w:before="40" w:after="40"/>
        <w:ind w:left="283"/>
      </w:pPr>
      <w:r>
        <w:rPr>
          <w:rFonts w:ascii="Calibri" w:hAnsi="Calibri"/>
          <w:b/>
          <w:color w:val="4A6B25"/>
          <w:sz w:val="20"/>
        </w:rPr>
        <w:t xml:space="preserve">3. </w:t>
      </w:r>
      <w:r>
        <w:rPr>
          <w:rFonts w:ascii="Calibri" w:hAnsi="Calibri"/>
          <w:b w:val="0"/>
          <w:color w:val="3A4A28"/>
          <w:sz w:val="20"/>
        </w:rPr>
        <w:t>Competitor SMR designs from GE-Hitachi (BWRX-300), X-energy, Oklo, and Rolls-Royce SMR are advancing through regulatory processes, and NuScale's first-mover advantage narrows with each year without commercial deployment while competitors may benefit from technology improvements and lessons learned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NuScale's core business — designing and deploying nuclear power reactors — is among the most AI-immune businesses in the public markets. Nuclear reactor engineering requires decades of regulatory expertise, multi-year NRC licensing processes, physical manufacturing of nuclear-grade components, and safety cultures that AI structurally cannot replicate or displace [2]. AI actively INCREASES demand for NuScale's product: the global AI data center buildout requires massive amounts of clean baseload electricity, and nuclear SMRs are uniquely positioned to provide 24/7 carbon-free power co-located with data centers. Microsoft, Google, Amazon, and other hyperscalers have announced nuclear power procurement strategies, directly validating NuScale's target market. No analyst has identified any AI substitution risk for nuclear reactor technology — the risk is entirely on the commercial execution side, not the AI disruption side. AI Opportunity (0/1): While NuScale is actively targeting AI data center power as a growth market, the company has not yet generated any revenue from AI-related contracts or deployments. The AI data center opportunity is prospective, not realized.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NuScale Power Q1 2026 Results and FY2026 Revenue Estimates — Revenue ~$36-40M, TTM Net Loss ~$386M, Q2 Revenue -98.8% YoY, Revenue Estimates Revised Down 60% — SEC Filings, WallStreetZen, GuruFocus, Foreign Policy Journal, 2026</w:t>
      </w:r>
    </w:p>
    <w:p>
      <w:pPr>
        <w:spacing w:before="20" w:after="20"/>
        <w:ind w:left="170"/>
      </w:pPr>
      <w:r>
        <w:rPr>
          <w:rFonts w:ascii="Calibri" w:hAnsi="Calibri"/>
          <w:b/>
          <w:color w:val="4A6B25"/>
          <w:sz w:val="15"/>
        </w:rPr>
        <w:t xml:space="preserve">2. </w:t>
      </w:r>
      <w:r>
        <w:rPr>
          <w:rFonts w:ascii="Calibri" w:hAnsi="Calibri"/>
          <w:b w:val="0"/>
          <w:color w:val="3A4A28"/>
          <w:sz w:val="17"/>
        </w:rPr>
        <w:t>NuScale Power Leadership, AI Data Center Strategy, and Nuclear Technology — CEO John Hopkins Since 2012, First NRC-Approved SMR Design, VOYGR Platform, Cultural Bridge Framework — NuScale.com, SimplyWallSt, 2022-2026</w:t>
      </w:r>
    </w:p>
    <w:p>
      <w:pPr>
        <w:spacing w:before="20" w:after="20"/>
        <w:ind w:left="170"/>
      </w:pPr>
      <w:r>
        <w:rPr>
          <w:rFonts w:ascii="Calibri" w:hAnsi="Calibri"/>
          <w:b/>
          <w:color w:val="4A6B25"/>
          <w:sz w:val="15"/>
        </w:rPr>
        <w:t xml:space="preserve">3. </w:t>
      </w:r>
      <w:r>
        <w:rPr>
          <w:rFonts w:ascii="Calibri" w:hAnsi="Calibri"/>
          <w:b w:val="0"/>
          <w:color w:val="3A4A28"/>
          <w:sz w:val="17"/>
        </w:rPr>
        <w:t>Nuclear Energy ESG Debate — Clean Energy Credentials vs. Waste/Safety Concerns, ESG Framework Assessment, Nuclear Industry Climate Finance — Bloomberg Law, E&amp;E News, Nuclear Innovation Alliance, World Nuclear News, 2022-2026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Investing.com — SMR Key Statistics: Stock Price $8.92, Market Cap $3.25B, Shares 429.72M, 52-Week Range $7.21-$57.42, EPS TTM -$1.822, Liquidity $1.9B,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