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w:t>
      </w:r>
      <w:r>
        <w:rPr>
          <w:rFonts w:ascii="Calibri" w:hAnsi="Calibri"/>
          <w:b/>
          <w:color w:val="1A2010"/>
          <w:sz w:val="40"/>
        </w:rPr>
        <w:t xml:space="preserve">  Simon Property Group, Inc.</w:t>
      </w:r>
    </w:p>
    <w:p>
      <w:pPr>
        <w:spacing w:after="120"/>
      </w:pPr>
      <w:r>
        <w:rPr>
          <w:rFonts w:ascii="Calibri" w:hAnsi="Calibri"/>
          <w:b/>
          <w:color w:val="6E8450"/>
          <w:sz w:val="18"/>
        </w:rPr>
        <w:t>DIVIDEND SLEEVE · 2026-07-26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Simon Property Group is a self-administered and self-managed REIT that owns, develops, and manages premier shopping, dining, entertainment, and mixed-use destinations, including malls, Premium Outlets, and The Mills. The company owns or has interests in 229 properties comprising 183 million square feet across North America, Asia, and Europe, plus an 88% interest in Taubman Realty Group and 22.4% ownership in Klepierre.</w:t>
      </w:r>
    </w:p>
    <w:p>
      <w:r>
        <w:rPr>
          <w:rFonts w:ascii="Calibri" w:hAnsi="Calibri"/>
          <w:b/>
          <w:color w:val="6E8450"/>
          <w:sz w:val="18"/>
        </w:rPr>
        <w:t>3,100 Employees · https://www.simon.com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Simon has incrementally evolved its properties toward mixed-use destinations incorporating dining, entertainment, and residential components, but no transformative product launch or business model pivot — the core mall and outlet REIT model remains fundamentally unchanged [1]. AI Deployment (1/2): Simon is described as being 'at the forefront of AI adoption in commercial real estate,' deploying digital analytics for tenant mix optimization, foot traffic analysis, and consumer engagement, but no specific AI-driven revenue or quantified savings have been reported publicly [2]. Market Share (2/2): Simon is the dominant U.S. retail REIT with 229 properties across 183M sq ft, including the premium outlet category leadership; Q1 2026 mall occupancy reached 99.2% (up 80bps YoY) and total U.S. occupancy hit 96% [1]. Pipeline (0/2): No specific next-generation property concepts or technology platforms announced with concrete timelines; development pipeline consists of standard redevelopment and mixed-use conversion projects [1]. R&amp;D Intensity (1/1): Significant capital investment in property redevelopment and mixed-use conversion projects relative to REIT peers, with ongoing portfolio transformation spending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Simon's purpose centers on creating 'premier shopping, dining, and entertainment destinations' — clear and specific to their business but not aspirational beyond the obvious commercial real estate mandate [2]. The core values include being 'passionate about our company, acting with integrity, embracing innovation,' which are generic corporate statements. Community Impact (1/2): Simon publishes sustainability reports aligned with GRI standards and TCFD framework, works with tenants on scope 3 science-based targets, and supports community programs through property development, but no distinctive large-scale foundation or quantified charitable investment has been highlighted [3]. Employee Retention (1/2): Glassdoor rating of 3.3/5 with culture and values rated 3.1/5 is below average; 844 reviews suggest a professional but uninspiring workplace culture [2]. Insider Buying (1/2): Multiple directors made open-market purchases in March 2026 at $183.80/share (9 directors purchasing a combined ~$413K), signaling board conviction, though individual amounts are modest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Q1 2026 delivered $1.76B revenue (up ~20% from $1.47B in Q1 2025), with real estate FFO of $3.17/share (up 7.5% YoY) and full-year guidance raised to $13.10-$13.25/share [1]. Domestic property NOI grew 6.7% YoY with 120bps attributable to the Taubman consolidation. ROE of ~105% reflects exceptional capital deployment for a REIT, and profit margin of ~72% is driven by REIT accounting treatment [5]. D/E of 435.5% scores zero mechanically but is structural for REITs carrying significant property-backed debt — this is industry-standard leverage, not financial distress. Dividend yield of ~4.0% with 31 consecutive years paid, an 8% 5-year CAGR, and the recent raise to $9.00 annual dividend demonstrate strong income quality [5]. Forward PE of 33x reflects GAAP-based valuation; on a P/FFO basis the stock trades at ~17x ($225/$13.18 midpoint guidance), which is reasonable for a Class A retail REIT with 99.2% mall occupancy. Liquidity cleared easily: ~1.65M avg volume x $225 = $371M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Simon Property Group has operated with remarkable consistency under family stewardship for over three decades, maintaining focus on premium retail real estate through multiple disruption cycles. The leadership transition following David Simon's passing in March 2026, with son Eli Simon elevated to CEO, tests whether the family stewardship model and long-term orientation will endure. Q1 2026 results under Eli's early leadership — raised FFO guidance, record mall occupancy — suggest continuity, but the new CEO has yet to be tested through adversity.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Simon's enduring purpose — creating premier destinations where communities gather to shop, dine, and be entertained — has been consistently pursued for over 30 years through multiple retail disruption cycles including the e-commerce revolution and COVID-19 [1]. The family stewardship model (Herbert Simon founded, David Simon led for decades, now Eli Simon) provides generational continuity of purpose. However, the cause is ultimately commercial rather than transformative — 'premier shopping destinations' is distinctive and well-executed but not idealistic in the Sinek sense.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3.3/5 rating with culture and values at 3.1/5 suggests an adequate but not exceptional workplace [2]. The Board executed a smooth succession plan following David Simon's unexpected death, appointing Eli Simon as CEO and Glasscock as Chairman, demonstrating organizational depth and continuity planning. However, the below-average employee satisfaction scores prevent a higher rating, and the leadership transition remains early-stage.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has consistently acknowledged competitors' strengths — the Taubman acquisition (88% interest) reflects willingness to absorb a worthy rival's capabilities in luxury retail rather than simply compete to destroy [1]. Management frames competition around 'creating the best destinations' rather than defeating specific competitors. The Klepierre ownership (22.4%) shows a collaborative approach to learning from European retail real estate best practices.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has evolved from a pure mall operator to a mixed-use destination developer, incorporating residential, office, dining, and entertainment uses into retail properties. The Premium Outlets concept, international expansion via Klepierre, and Taubman luxury positioning represent meaningful strategic evolution [1]. However, the core business model — owning and leasing retail real estate — has not fundamentally transformed. The adaptation has been incremental and successful but not the radical reinvention that earns maximum points.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 demonstrated courage by investing through the retail apocalypse narrative of 2017-2020 when analysts wrote off malls, acquiring Taubman at a discount during COVID-19 despite significant short-term uncertainty [1]. The company maintained dividends through the pandemic (albeit with a cut) and quickly restored growth, reaching $9.00 annual by 2026. Q1 2026 results under Eli Simon — raised guidance, record occupancy — suggest continued strategic discipline. However, Eli's leadership has not yet been tested through a full economic cycle or crisis.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Simon Property Group is the dominant U.S. retail REIT delivering exceptional Q1 2026 results: $1.76B revenue (up ~20% YoY), FFO of $3.17/share (up 7.5%), and raised full-year guidance to $13.10-$13.25/share [1]. Mall occupancy reached a remarkable 99.2% and domestic property NOI grew 6.7%, demonstrating the resilience of premium physical retail in an e-commerce world [1]. The ~4.0% dividend yield with 31 consecutive years of payments and an 8% five-year dividend growth CAGR provides compelling income, trading at ~17x P/FFO on the raised midpoint guidance [5]. The family succession from David to Eli Simon executed smoothly, with Q1 operational results showing no disruption to the company's strategic direction. The Taubman consolidation, Klepierre ownership, and mixed-use evolution provide growth optionality beyond the core portfolio [1].</w:t>
      </w:r>
    </w:p>
    <w:p>
      <w:pPr>
        <w:spacing w:after="120"/>
      </w:pPr>
      <w:r>
        <w:rPr>
          <w:rFonts w:ascii="Calibri" w:hAnsi="Calibri"/>
          <w:b w:val="0"/>
          <w:color w:val="3A4A28"/>
          <w:sz w:val="20"/>
        </w:rPr>
        <w:t>The bear case centers on structural retail headwinds, balance sheet leverage, and succession risk. D/E of 435.5% is structurally high even for a REIT, creating interest rate sensitivity — the company previously guided $0.25-$0.30 higher net interest expense per share [1]. The GAAP Forward PE of 33x appears expensive, though FFO-based valuation is more reasonable at 17x. The COVID-era dividend cut (from $8.30 to $6.00 in 2020) demonstrated that even premium REITs face income risk during severe disruptions, and the MSCI ESG rating of BB suggests room for governance improvement [3]. Eli Simon's elevation following David Simon's death in March 2026 introduces succession risk that has not yet been tested through adversity — David's 30-year strategic vision cannot be taken for granted under new leadership [2]. Secular e-commerce penetration, while manageable at current levels, continues to evolve, and AI-enhanced shopping experiences could accelerate the shift away from in-person retail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FFO guidance of $13.10-$13.25/share with domestic property NOI growth of 6.7% and record mall occupancy of 99.2% demonstrating pricing power and tenant demand [1]</w:t>
      </w:r>
    </w:p>
    <w:p>
      <w:pPr>
        <w:spacing w:before="40" w:after="40"/>
        <w:ind w:left="283"/>
      </w:pPr>
      <w:r>
        <w:rPr>
          <w:rFonts w:ascii="Calibri" w:hAnsi="Calibri"/>
          <w:b/>
          <w:color w:val="4A6B25"/>
          <w:sz w:val="20"/>
        </w:rPr>
        <w:t xml:space="preserve">2. </w:t>
      </w:r>
      <w:r>
        <w:rPr>
          <w:rFonts w:ascii="Calibri" w:hAnsi="Calibri"/>
          <w:b w:val="0"/>
          <w:color w:val="3A4A28"/>
          <w:sz w:val="20"/>
        </w:rPr>
        <w:t>Continued mixed-use redevelopment converting underperforming retail space into residential, dining, and entertainment destinations to drive occupancy and NOI growth beyond traditional retail [1]</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 8% five-year CAGR with $9.00 annual dividend providing compounding income for long-term holders at ~4.0% current yield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with significant property-backed debt (435.5% D/E) and guided higher net interest expense compressing FFO growth even as operating performance improves [1]</w:t>
      </w:r>
    </w:p>
    <w:p>
      <w:pPr>
        <w:spacing w:before="40" w:after="40"/>
        <w:ind w:left="283"/>
      </w:pPr>
      <w:r>
        <w:rPr>
          <w:rFonts w:ascii="Calibri" w:hAnsi="Calibri"/>
          <w:b/>
          <w:color w:val="4A6B25"/>
          <w:sz w:val="20"/>
        </w:rPr>
        <w:t xml:space="preserve">2. </w:t>
      </w:r>
      <w:r>
        <w:rPr>
          <w:rFonts w:ascii="Calibri" w:hAnsi="Calibri"/>
          <w:b w:val="0"/>
          <w:color w:val="3A4A28"/>
          <w:sz w:val="20"/>
        </w:rPr>
        <w:t>CEO succession risk — Eli Simon's elevation following David Simon's March 2026 death is promising but untested through a full economic cycle or retail disruption event [2]</w:t>
      </w:r>
    </w:p>
    <w:p>
      <w:pPr>
        <w:spacing w:before="40" w:after="40"/>
        <w:ind w:left="283"/>
      </w:pPr>
      <w:r>
        <w:rPr>
          <w:rFonts w:ascii="Calibri" w:hAnsi="Calibri"/>
          <w:b/>
          <w:color w:val="4A6B25"/>
          <w:sz w:val="20"/>
        </w:rPr>
        <w:t xml:space="preserve">3. </w:t>
      </w:r>
      <w:r>
        <w:rPr>
          <w:rFonts w:ascii="Calibri" w:hAnsi="Calibri"/>
          <w:b w:val="0"/>
          <w:color w:val="3A4A28"/>
          <w:sz w:val="20"/>
        </w:rPr>
        <w:t>Secular e-commerce penetration continues to evolve, with AI-enhanced shopping experiences potentially accelerating the shift away from physical retail for non-experiential categories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Simon's core business — owning and operating physical retail real estate in prime locations — is structurally immune to AI substitution. AI cannot replace the experiential nature of shopping, dining, and entertainment at premium destinations, as evidenced by 99.2% mall occupancy and 96% portfolio-wide occupancy in Q1 2026 [1]. The physical infrastructure moat — 229 properties comprising 183M sq ft in irreplaceable locations — cannot be digitally replicated. While e-commerce (which AI enhances) remains a secular headwind, Simon's Class A properties have demonstrated resilience through the e-commerce era with consistent occupancy and NOI growth. The 10-K acknowledges that 'persistent growth of e-commerce presents an ongoing challenge,' but operating results show this challenge is manageable for premium assets [2]. AI Opportunity (0/1): Simon does not generate meaningful revenue from AI products or services; AI is used internally for analytics and tenant optimization but not as a revenue-generating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Simon Property Group Q1 2026 Earnings Release — $1.76B revenue (up ~20% YoY), FFO $3.17/share (up 7.5%), guidance raised to $13.10-$13.25, occupancy 96%, mall occupancy 99.2%, domestic NOI +6.7%, May 2026</w:t>
      </w:r>
    </w:p>
    <w:p>
      <w:pPr>
        <w:spacing w:before="20" w:after="20"/>
        <w:ind w:left="170"/>
      </w:pPr>
      <w:r>
        <w:rPr>
          <w:rFonts w:ascii="Calibri" w:hAnsi="Calibri"/>
          <w:b/>
          <w:color w:val="4A6B25"/>
          <w:sz w:val="15"/>
        </w:rPr>
        <w:t xml:space="preserve">2. </w:t>
      </w:r>
      <w:r>
        <w:rPr>
          <w:rFonts w:ascii="Calibri" w:hAnsi="Calibri"/>
          <w:b w:val="0"/>
          <w:color w:val="3A4A28"/>
          <w:sz w:val="17"/>
        </w:rPr>
        <w:t>Simon Property Group Leadership Transition and Culture — Eli Simon CEO following David Simon's death March 2026, Glassdoor 3.3/5 rating (844 reviews), AI adoption in real estate analytics</w:t>
      </w:r>
    </w:p>
    <w:p>
      <w:pPr>
        <w:spacing w:before="20" w:after="20"/>
        <w:ind w:left="170"/>
      </w:pPr>
      <w:r>
        <w:rPr>
          <w:rFonts w:ascii="Calibri" w:hAnsi="Calibri"/>
          <w:b/>
          <w:color w:val="4A6B25"/>
          <w:sz w:val="15"/>
        </w:rPr>
        <w:t xml:space="preserve">3. </w:t>
      </w:r>
      <w:r>
        <w:rPr>
          <w:rFonts w:ascii="Calibri" w:hAnsi="Calibri"/>
          <w:b w:val="0"/>
          <w:color w:val="3A4A28"/>
          <w:sz w:val="17"/>
        </w:rPr>
        <w:t>Simon Property Group Sustainability and ESG — GRI/TCFD reporting framework, climate governance committee, scope 3 science-based targets, MSCI BB ESG rating</w:t>
      </w:r>
    </w:p>
    <w:p>
      <w:pPr>
        <w:spacing w:before="20" w:after="20"/>
        <w:ind w:left="170"/>
      </w:pPr>
      <w:r>
        <w:rPr>
          <w:rFonts w:ascii="Calibri" w:hAnsi="Calibri"/>
          <w:b/>
          <w:color w:val="4A6B25"/>
          <w:sz w:val="15"/>
        </w:rPr>
        <w:t xml:space="preserve">4. </w:t>
      </w:r>
      <w:r>
        <w:rPr>
          <w:rFonts w:ascii="Calibri" w:hAnsi="Calibri"/>
          <w:b w:val="0"/>
          <w:color w:val="3A4A28"/>
          <w:sz w:val="17"/>
        </w:rPr>
        <w:t>Simon Property Group Insider Transactions — 9 directors purchased shares at $183.80 in March 2026, combined ~$413K, accessed via Yahoo Finance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SPG Forward PE 33.0, dividend yield ~4.0%, annual dividend $9.00, stock price ~$225,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