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SPWR</w:t>
      </w:r>
      <w:r>
        <w:rPr>
          <w:rFonts w:ascii="Calibri" w:hAnsi="Calibri"/>
          <w:b/>
          <w:color w:val="1A2010"/>
          <w:sz w:val="40"/>
        </w:rPr>
        <w:t xml:space="preserve">  SunPower Inc.</w:t>
      </w:r>
    </w:p>
    <w:p>
      <w:pPr>
        <w:spacing w:after="120"/>
      </w:pPr>
      <w:r>
        <w:rPr>
          <w:rFonts w:ascii="Calibri" w:hAnsi="Calibri"/>
          <w:b/>
          <w:color w:val="6E8450"/>
          <w:sz w:val="18"/>
        </w:rPr>
        <w:t>GROWTH SLEEVE · 2026-07-26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SunPower Inc. (formerly Complete Solaria) is a residential solar installer operating across 46 states through direct installation, new homes, and dealer channels. The company acquired SunPower Corporation's key assets out of bankruptcy in September 2024, rebranded as SunPower Inc. in October 2025, and targets profitability and cash flow breakeven by Q3 2026 with a long-term vision of a billion-dollar revenue run rate by Q3 2028.</w:t>
      </w:r>
    </w:p>
    <w:p>
      <w:r>
        <w:rPr>
          <w:rFonts w:ascii="Calibri" w:hAnsi="Calibri"/>
          <w:b/>
          <w:color w:val="6E8450"/>
          <w:sz w:val="18"/>
        </w:rPr>
        <w:t>785 Employees · https://us.sunpower.com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T.J. Rodgers executed a bold turnaround — acquiring SunPower assets out of bankruptcy, reducing headcount from 2,901 to ~900, expanding from 22 to 46 states through three acquisitions (Blue Raven Solar, Sunder Energy), and achieving brief profitability in Q4 FY2025 [1]. However, Q1 2026 revenue of $72.8M missed $80M guidance by 9%, undermining the execution narrative. AI Deployment (0/2): No evidence of AI-powered products or quantified AI-driven operational improvements in solar design, sales, or installation processes [2]. Market Share (1/2): SunPower has national coverage across 46 states with an estimated $420M FY2026 revenue, but competes behind Sunrun, Tesla Solar, and other larger installers in a highly fragmented residential solar market [1]. Pipeline (1/2): Management targets Q3 2026 revenue above $96M with profitability and cash flow breakeven, and a billion-dollar revenue run rate by Q3 2028 — specific targets with timelines, though credibility is strained by the Q1 miss [1]. R&amp;D Intensity (0/1): SunPower is an installer/integrator, not a technology developer — no meaningful R&amp;D investment in panel, inverter, or energy storage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SunPower's mission centers on making solar energy accessible to homeowners across the U.S. — purposeful and aligned with clean energy transition but not distinctive among the dozens of residential solar companies making identical claims [2]. Community Impact (1/2): Solar installation directly reduces household carbon emissions and electricity costs, providing tangible community benefit; expansion to 46 states broadens access to underserved markets [1]. Employee Retention (0/2): Glassdoor rating of 3.4/5 shows mixed reviews — some praise CEO Rodgers' vision and collaborative culture, while others cite 'annual restructurings,' management indecisiveness, and frequent layoffs creating instability [2]. Headcount reduction from 2,901 to ~900 signals significant organizational disruption. Insider Buying (1/2): CEO T.J. Rodgers brings substantial personal credibility as the 34-year founding CEO of Cypress Semiconductor who previously helped turn around Enphase Energy, signaling entrepreneurial commitment beyond typical executive tenure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Average daily volume of ~1.58M shares x stock price of $0.48 = $758,400, which is below the $1,000,000 minimum liquidity threshold. Infrastructure score is automatically set to 0 regardless of other metrics [3]. Underlying financials are deeply distressed: D/E of -5.27 reflects negative shareholders' equity (more liabilities than assets), meaning the company is technically insolvent on a book value basis [3]. Q1 2026 revenue of $72.8M missed the $80M guidance target by 9%, with a $12.9M non-GAAP operating loss [1]. FY2026 revenue estimates have been revised down from $470M to $420M over the past 90 days [1]. Management targets profitability by Q3 2026, but credibility is strained by the Q1 miss. Total debt of $188M against ~$10M cash is concerning, and the company recently closed a share exchange covering $10M in cash interest on convertible notes, suggesting liquidity stress [3]. Market cap of $96M represents a 23% decline from $124M in April 2026, and the sub-$0.50 stock price creates potential Nasdaq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SunPower Inc. under T.J. Rodgers is a turnaround story with both infinite and finite game elements. The vision of making solar accessible nationwide and the commitment to reaching billion-dollar revenue run rate by Q3 2028 suggest long-term thinking. However, the Q1 2026 revenue miss, sub-$0.50 stock price, aggressive cost-cutting (66% headcount reduction), and Nasdaq delisting risk reveal a company fighting for survival rather than playing to endure. Survival mode is inherently 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 energy access — reducing household electricity costs and carbon emissions while contributing to clean energy transition — is a genuine cause that transcends quarterly results [2]. The mission is validated by the industry's secular growth trajectory and societal need for distributed energy generation as AI-driven electricity demand surges. However, SunPower is an installer, not a technology pioneer, which limits how deeply the cause differentiates from dozens of other solar companies making similar accessibility claims.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66% headcount reduction from 2,901 to ~900 employees within two quarters of the acquisition signals a low-trust environment [2]. Glassdoor reviews describe 'annual restructurings' and 'management creating noise,' with employees citing indecisive leadership and lack of clear direction [2]. While some employees express confidence in CEO Rodgers' vision, the scale of workforce disruption and ongoing organizational instability undermine psychological safety. Management tenure remains short (~1-2 years) reflecting the post-bankruptcy reconstitution.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SunPower acknowledges the competitive landscape including Sunrun, Tesla Solar, and regional installers, positioning itself as a quality-focused national platform rather than attempting to destroy competitors [1]. The dealer network model — partnering with independent installers across 46 states — reflects a collaborative rather than zero-sum approach to market growth. Management frames competition around expanding the residential solar category rather than taking share from specific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entire SunPower Inc. entity is itself an existential pivot — Complete Solaria transformed from a small solar company into a national 46-state platform by acquiring SunPower's assets out of bankruptcy and executing three additional acquisitions [1]. The rebranding from Complete Solaria to SunPower Inc. demonstrates willingness to reinvent corporate identity. However, the Q1 2026 miss and declining revenue estimates suggest the transformation is incomplete and execution-dependent rather than cause-driven.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 Rodgers demonstrated courage by acquiring distressed SunPower assets during severe residential solar industry pressure from high interest rates and California NEM 3.0 policy changes [1]. The commitment to cost restructuring — reducing OpEx by $9.9M/quarter — and targeting profitability over revenue growth shows willingness to make painful decisions [1]. However, the Q1 2026 revenue miss, share exchange to cover convertible note interest, and sub-$0.50 stock price suggest the courageous bet has not yet paid off, and the risk is largely borne by shareholders rather than management.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SunPower Inc. represents an extreme turnaround bet in residential solar, led by veteran CEO T.J. Rodgers who acquired SunPower's assets out of bankruptcy and built a national 46-state installation platform through three acquisitions [1]. The company targets Q3 2026 revenue above $96M with profitability and cash flow breakeven, which would validate the lean operating model and could dramatically re-rate the stock from its deeply distressed $0.48 level [1]. FY2026 revenue is estimated at $420M (up ~40% from FY2025's $300M), driven by acquisition integration and geographic expansion. The residential solar industry benefits from structural tailwinds: AI-driven data center buildout increasing electricity demand, 30% federal Investment Tax Credit, and rising utility rates driving homeowner adoption. Solar installation is completely immune to AI disruption, and the company operates in a rapidly consolidating market where survivors will benefit from reduced competition.</w:t>
      </w:r>
    </w:p>
    <w:p>
      <w:pPr>
        <w:spacing w:after="120"/>
      </w:pPr>
      <w:r>
        <w:rPr>
          <w:rFonts w:ascii="Calibri" w:hAnsi="Calibri"/>
          <w:b w:val="0"/>
          <w:color w:val="3A4A28"/>
          <w:sz w:val="20"/>
        </w:rPr>
        <w:t>The bear case is dominated by survival risk. SPWR fails the IOWN liquidity floor test at $758K daily traded value ($0.48 x 1.58M shares), rendering the stock unsuitable for institutional investment [3]. The sub-$0.50 share price creates potential Nasdaq delisting risk, and D/E of -5.27 indicates negative shareholders' equity — the company is technically insolvent [3]. Q1 2026 revenue of $72.8M missed $80M guidance by 9%, and FY2026 estimates have been revised down from $470M to $420M, undermining management credibility [1]. The company recently closed a share exchange to cover $10M in convertible note interest, signaling liquidity stress with only ~$10M cash against $188M total debt [3]. Market cap of $96M represents a 23% decline from April, and the 94% decline from predecessor company highs reflects legitimate structural concerns. The predecessor SunPower Corporation went bankrupt under $2 billion in debt — similar overextension risk persists if the acquisition-driven growth strategy fails to achieve profitability at scale. Potential loss of the 30% Solar ITC under changing federal energy policy remains an existential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revenue target above $96M with profitability and cash flow breakeven, which would prove the lean operating model works at scale and could trigger a significant re-rating from distressed levels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electricity demand growth and rising utility rates, increasing homeowner interest in residential solar as an economic hedge [1]</w:t>
      </w:r>
    </w:p>
    <w:p>
      <w:pPr>
        <w:spacing w:before="40" w:after="40"/>
        <w:ind w:left="283"/>
      </w:pPr>
      <w:r>
        <w:rPr>
          <w:rFonts w:ascii="Calibri" w:hAnsi="Calibri"/>
          <w:b/>
          <w:color w:val="4A6B25"/>
          <w:sz w:val="20"/>
        </w:rPr>
        <w:t xml:space="preserve">3. </w:t>
      </w:r>
      <w:r>
        <w:rPr>
          <w:rFonts w:ascii="Calibri" w:hAnsi="Calibri"/>
          <w:b w:val="0"/>
          <w:color w:val="3A4A28"/>
          <w:sz w:val="20"/>
        </w:rPr>
        <w:t>Industry consolidation — competitors exiting or going bankrupt reduces competition and improves pricing power for surviving national installers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$758K daily traded value is below $1M minimum, creating Infrastructure score of 0 and making the stock unsuitable for IOWN portfolio inclusion at current price/volume levels [3]</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with sub-$0.50 share price, negative shareholders' equity (D/E -5.27), $188M debt against ~$10M cash, and convertible note interest requiring share exchanges [3]</w:t>
      </w:r>
    </w:p>
    <w:p>
      <w:pPr>
        <w:spacing w:before="40" w:after="40"/>
        <w:ind w:left="283"/>
      </w:pPr>
      <w:r>
        <w:rPr>
          <w:rFonts w:ascii="Calibri" w:hAnsi="Calibri"/>
          <w:b/>
          <w:color w:val="4A6B25"/>
          <w:sz w:val="20"/>
        </w:rPr>
        <w:t xml:space="preserve">3. </w:t>
      </w:r>
      <w:r>
        <w:rPr>
          <w:rFonts w:ascii="Calibri" w:hAnsi="Calibri"/>
          <w:b w:val="0"/>
          <w:color w:val="3A4A28"/>
          <w:sz w:val="20"/>
        </w:rPr>
        <w:t>Revenue estimate downgrades ($470M to $420M for FY2026) and Q1 guidance miss ($72.8M vs $80M target) undermine management credibility and the turnaround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Residential solar installation is fundamentally physical work — roof assessments, panel mounting, electrical wiring, permitting, and utility interconnection inspections cannot be performed by AI [2]. The business requires local crews, building code compliance across 46 states, and utility interconnection coordination that are structurally immune to AI substitution. AI-driven electricity demand growth — particularly from data centers — strengthens the case for distributed solar generation as utility rates rise, creating a tailwind rather than a threat. The regulatory complexity of net metering policies, state-by-state incentive programs, and the 30% federal Investment Tax Credit adds another layer of protection from digital disruption. AI Opportunity (0/1): SunPower does not generate any AI-related revenue. The company could benefit from AI in system design optimization, customer acquisition, and installation scheduling, but has not deployed or monetized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SunPower Inc. Q1 2026 Earnings — $72.8M revenue (below $80M guidance), $12.9M non-GAAP operating loss, Q3 2026 target $96M with profitability, FY2026 estimate $420M (revised down from $470M), OpEx reduced $9.9M/quarter, May 2026</w:t>
      </w:r>
    </w:p>
    <w:p>
      <w:pPr>
        <w:spacing w:before="20" w:after="20"/>
        <w:ind w:left="170"/>
      </w:pPr>
      <w:r>
        <w:rPr>
          <w:rFonts w:ascii="Calibri" w:hAnsi="Calibri"/>
          <w:b/>
          <w:color w:val="4A6B25"/>
          <w:sz w:val="15"/>
        </w:rPr>
        <w:t xml:space="preserve">2. </w:t>
      </w:r>
      <w:r>
        <w:rPr>
          <w:rFonts w:ascii="Calibri" w:hAnsi="Calibri"/>
          <w:b w:val="0"/>
          <w:color w:val="3A4A28"/>
          <w:sz w:val="17"/>
        </w:rPr>
        <w:t>SunPower Inc. Leadership and Glassdoor — CEO T.J. Rodgers (34-year Cypress Semi founder), Glassdoor 3.4/5 with mixed reviews, headcount reduced from 2,901 to ~900, 46-state expansion</w:t>
      </w:r>
    </w:p>
    <w:p>
      <w:pPr>
        <w:spacing w:before="20" w:after="20"/>
        <w:ind w:left="170"/>
      </w:pPr>
      <w:r>
        <w:rPr>
          <w:rFonts w:ascii="Calibri" w:hAnsi="Calibri"/>
          <w:b/>
          <w:color w:val="4A6B25"/>
          <w:sz w:val="15"/>
        </w:rPr>
        <w:t xml:space="preserve">3. </w:t>
      </w:r>
      <w:r>
        <w:rPr>
          <w:rFonts w:ascii="Calibri" w:hAnsi="Calibri"/>
          <w:b w:val="0"/>
          <w:color w:val="3A4A28"/>
          <w:sz w:val="17"/>
        </w:rPr>
        <w:t>SunPower Inc. Financial Data — Stock price $0.48, market cap $96M, D/E -5.27 (negative equity), $188M debt, ~$10M cash, convertible note share exchange for $10M interest,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SunPower predecessor bankruptcy and restructuring — SunPower Corporation Chapter 11 August 2024, Complete Solaria acquisition September 2024, rebranding October 2025, ITC policy risk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