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SWIM</w:t>
      </w:r>
      <w:r>
        <w:rPr>
          <w:rFonts w:ascii="Calibri" w:hAnsi="Calibri"/>
          <w:b/>
          <w:color w:val="1A2010"/>
          <w:sz w:val="40"/>
        </w:rPr>
        <w:t xml:space="preserve">  Latham Group, Inc.</w:t>
      </w:r>
    </w:p>
    <w:p>
      <w:pPr>
        <w:spacing w:after="120"/>
      </w:pPr>
      <w:r>
        <w:rPr>
          <w:rFonts w:ascii="Calibri" w:hAnsi="Calibri"/>
          <w:b/>
          <w:color w:val="6E8450"/>
          <w:sz w:val="18"/>
        </w:rPr>
        <w:t>GROWTH SLEEVE · 2026-08-09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Leisure · NASDAQ · United States</w:t>
      </w:r>
    </w:p>
    <w:p>
      <w:pPr>
        <w:spacing w:after="80"/>
      </w:pPr>
      <w:r>
        <w:rPr>
          <w:rFonts w:ascii="Calibri" w:hAnsi="Calibri"/>
          <w:b w:val="0"/>
          <w:color w:val="3A4A28"/>
          <w:sz w:val="20"/>
        </w:rPr>
        <w:t>Latham Group, Inc. is the largest designer, manufacturer, and marketer of in-ground residential swimming pools in North America, Australia, and New Zealand. The company operates through fiberglass pools (growing to ~80% of in-ground sales), vinyl liner pools, and pool covers segments. Headquartered in Latham, New York, IPO'd on NASDAQ in April 2021.</w:t>
      </w:r>
    </w:p>
    <w:p>
      <w:r>
        <w:rPr>
          <w:rFonts w:ascii="Calibri" w:hAnsi="Calibri"/>
          <w:b/>
          <w:color w:val="6E8450"/>
          <w:sz w:val="18"/>
        </w:rPr>
        <w:t>2,400 Employees · https://www.lathampool.com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Latham acquired Freedom Pools in 2025 to expand its fiberglass manufacturing footprint, and fiberglass pools are on track to represent ~80% of in-ground pool sales in 2026, up from a lower mix historically [1][2]. The company has also invested in a new manufacturing plant in Kingston, Ontario with modernized production processes. These represent meaningful business evolution from a traditional vinyl liner manufacturer to a fiberglass-first company. AI Deployment (0/2): No evidence of AI-powered products or quantifiable AI-driven cost savings. Latham's manufacturing and distribution operations remain traditional, with no AI deployment discussed in earnings calls or public materials. Market Share (2/2): Latham is the largest in-ground residential swimming pool manufacturer in North America by a significant margin, with a vertically integrated manufacturing and distribution model that covers fiberglass, vinyl liner, and covers [1]. Consumer leads up 60% YoY and website traffic up 30% indicate growing demand capture [2]. Product Pipeline (1/2): The 2026 product lineup includes expanded fiberglass designs and continued buildout of direct-to-dealer distribution, with management guiding $600-620M in FY2026 net sales [1]. However, no transformative next-gen products or breakthrough technologies are on the horizon. R&amp;D Intensity (0/1): As a pool manufacturer, R&amp;D spend is minimal relative to revenue; innovation is in manufacturing process and material science rather than formal R&amp;D programs.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Latham's purpose centers on bringing the 'joy of pool ownership' to more families and transforming backyards into personal retreats. The mission is clear and specific to the company's work but does not articulate a deeper societal purpose beyond its product category — it's about selling pools, not changing the world [3]. Community Impact (1/2): The company's ESG report highlights a 50% reduction in fiberglass production waste compared to 2022 and lowered VOC emissions through modernized production processes, demonstrating genuine environmental commitment aligned with its manufacturing footprint [3]. However, no significant community foundations or charitable programs beyond standard corporate practices were identified. Employee Retention (1/2): Latham's 2023 ESG report references improvements in employee retention and safety, suggesting focus on workforce stability, though specific retention data was not disclosed [3]. The company has ~2,400 employees in manufacturing roles. Insider Buying (1/2): Director James Cline purchased ~50,000 shares on the open market at $4.84 per share in May 2026, representing 7% of his personal holdings — a meaningful insider buy signaling confidence in the turnaround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revenue of $197.5M grew 14.4% YoY driven by 10% organic gains and the Freedom Pools acquisition, with full-year guidance of $600-620M representing continued momentum [1][2]. However, profitability remains thin — annual profit margin of just 0.9% and ROE of 2.13% reflect the company's still-early recovery from the post-COVID pool demand normalization. D/E of 109% is manageable but above the 70% target. The bright spot is the forward PEG ratio of 1.25, suggesting the market prices reasonable growth expectations relative to earnings trajectory. Gross margins of 35.5% are solid for a manufacturer, and adjusted EBITDA margin of 22.6% demonstrates underlying operating leverage, though GAAP net income remains slim at $5.3M TTM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Latham Group operates with a clear product vision centered on making pool ownership more accessible through fiberglass innovation, but the company's recent history of leadership transitions, margin compression, and post-IPO challenges suggest finite-game pressures. New CEO Sean Gadd brings fresh strategic direction, but the pivot from vinyl to fiberglass is market-driven evolution rather than cause-driven transformation.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Latham's purpose of bringing the joy of pool ownership to families is genuine but commercially oriented — it's about growing the addressable market for pools rather than advancing a broader vision of a better future. The company does not articulate a Just Cause that inspires sacrifice or invites contribution beyond the product. Leadership references market share and fiberglass conversion rates rather than purpose in strategic communications.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 experienced a CEO transition in January 2026, with Sean Gadd replacing retiring Scott Rajeski [4]. The ESG report references improvements in employee retention and safety, and CHRO Nikki Vaughan Maczko (since May 2024) brings organizational development focus. However, the leadership change creates transition risk, and for a 2,400-person manufacturing workforce, no exceptional trust indicators were identified beyond standard practices.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Latham's competitive communications focus on market leadership and share dominance — being the 'largest' pool manufacturer. Management frames competition in terms of market position and conversion from vinyl to fiberglass rather than learning from competitors' strengths. The competitive language leans toward finite game 'winning' rather than self-improvement through rivalry.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Latham has meaningfully shifted its business mix from primarily vinyl liner pools to fiberglass-first (~80% of in-ground sales by 2026), representing a genuine strategic evolution driven by superior unit economics and consumer preference [1]. The Freedom Pools acquisition accelerated this transition. However, this is market-following adaptation rather than transformative reinvention — the company still manufactures and sells pools.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Latham invested in the Kingston, Ontario manufacturing plant and acquired Freedom Pools even while navigating margin compression and the post-pandemic pool demand normalization. Management maintained the fiberglass conversion strategy through a difficult cyclical trough, showing willingness to invest through adversity [1][3]. However, these investments were competitively necessary rather than visionary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Latham Group is executing a compelling turnaround as the dominant North American pool manufacturer, with Q2 2026 revenue growing 14.4% to $197.5M and fiberglass pools reaching ~80% of in-ground sales [1][2]. Consumer leads surging 60% YoY and website traffic up 30% signal pent-up demand recovery from the post-COVID pool normalization trough. Full-year guidance of $600-620M represents steady top-line acceleration, and the Freedom Pools acquisition expands manufacturing capacity for the fiberglass transition. At $7.48 with a PEG of 1.25, the stock offers reasonable growth valuation if earnings normalize — analyst consensus forecasts 58% earnings growth and 6.7% revenue growth annually. Insider buying (Director James Cline purchasing 50K shares at $4.84 in May) signals board-level confidence in the recovery [4].</w:t>
      </w:r>
    </w:p>
    <w:p>
      <w:pPr>
        <w:spacing w:after="120"/>
      </w:pPr>
      <w:r>
        <w:rPr>
          <w:rFonts w:ascii="Calibri" w:hAnsi="Calibri"/>
          <w:b w:val="0"/>
          <w:color w:val="3A4A28"/>
          <w:sz w:val="20"/>
        </w:rPr>
        <w:t>The primary concern is profitability — annual net margin of 0.9% and ROE of 2.13% indicate Latham has not yet demonstrated the ability to convert revenue growth into meaningful earnings power [5]. Q2 gross margins contracted 160bps to 35.5% due to transitory production costs, and GAAP EPS of $0.11 missed consensus by $0.05, raising questions about cost management during expansion [2]. The trailing P/E of 149.6x reflects how little GAAP earnings the company generates relative to its $880M market cap. Pool demand is inherently cyclical and tied to housing starts, consumer confidence, and discretionary spending — a recession would severely impact new pool installations. Additionally, the company has no meaningful e-commerce channel or digital services layer, and the CEO transition to Sean Gadd in January 2026 introduces execution uncertainty during a critical recovery phase.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Fiberglass pool conversion reaching 80%+ of in-ground sales, with higher margins and faster installation driving structural mix improvement and dealer network expansion</w:t>
      </w:r>
    </w:p>
    <w:p>
      <w:pPr>
        <w:spacing w:before="40" w:after="40"/>
        <w:ind w:left="283"/>
      </w:pPr>
      <w:r>
        <w:rPr>
          <w:rFonts w:ascii="Calibri" w:hAnsi="Calibri"/>
          <w:b/>
          <w:color w:val="4A6B25"/>
          <w:sz w:val="20"/>
        </w:rPr>
        <w:t xml:space="preserve">2. </w:t>
      </w:r>
      <w:r>
        <w:rPr>
          <w:rFonts w:ascii="Calibri" w:hAnsi="Calibri"/>
          <w:b w:val="0"/>
          <w:color w:val="3A4A28"/>
          <w:sz w:val="20"/>
        </w:rPr>
        <w:t>Post-COVID pool demand normalization ending as consumer leads surge 60% YoY and sustained double-digit growth in Florida signals durable recovery in the largest pool market</w:t>
      </w:r>
    </w:p>
    <w:p>
      <w:pPr>
        <w:spacing w:before="40" w:after="40"/>
        <w:ind w:left="283"/>
      </w:pPr>
      <w:r>
        <w:rPr>
          <w:rFonts w:ascii="Calibri" w:hAnsi="Calibri"/>
          <w:b/>
          <w:color w:val="4A6B25"/>
          <w:sz w:val="20"/>
        </w:rPr>
        <w:t xml:space="preserve">3. </w:t>
      </w:r>
      <w:r>
        <w:rPr>
          <w:rFonts w:ascii="Calibri" w:hAnsi="Calibri"/>
          <w:b w:val="0"/>
          <w:color w:val="3A4A28"/>
          <w:sz w:val="20"/>
        </w:rPr>
        <w:t>Full-year guidance of $600-620M with management expecting margin pressure to ease in H2, creating potential for earnings inflection as production costs normalize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Annual profit margin of 0.9% and ROE of 2.13% indicate the company has not proven it can convert revenue growth into meaningful shareholder returns, with Q2 EPS missing consensus by $0.05</w:t>
      </w:r>
    </w:p>
    <w:p>
      <w:pPr>
        <w:spacing w:before="40" w:after="40"/>
        <w:ind w:left="283"/>
      </w:pPr>
      <w:r>
        <w:rPr>
          <w:rFonts w:ascii="Calibri" w:hAnsi="Calibri"/>
          <w:b/>
          <w:color w:val="4A6B25"/>
          <w:sz w:val="20"/>
        </w:rPr>
        <w:t xml:space="preserve">2. </w:t>
      </w:r>
      <w:r>
        <w:rPr>
          <w:rFonts w:ascii="Calibri" w:hAnsi="Calibri"/>
          <w:b w:val="0"/>
          <w:color w:val="3A4A28"/>
          <w:sz w:val="20"/>
        </w:rPr>
        <w:t>Pool demand is highly cyclical and discretionary — a consumer spending slowdown or housing market contraction would directly impact new pool installations, which drive 70%+ of revenue</w:t>
      </w:r>
    </w:p>
    <w:p>
      <w:pPr>
        <w:spacing w:before="40" w:after="40"/>
        <w:ind w:left="283"/>
      </w:pPr>
      <w:r>
        <w:rPr>
          <w:rFonts w:ascii="Calibri" w:hAnsi="Calibri"/>
          <w:b/>
          <w:color w:val="4A6B25"/>
          <w:sz w:val="20"/>
        </w:rPr>
        <w:t xml:space="preserve">3. </w:t>
      </w:r>
      <w:r>
        <w:rPr>
          <w:rFonts w:ascii="Calibri" w:hAnsi="Calibri"/>
          <w:b w:val="0"/>
          <w:color w:val="3A4A28"/>
          <w:sz w:val="20"/>
        </w:rPr>
        <w:t>CEO transition to Sean Gadd in January 2026 introduces leadership execution risk during a critical recovery phase, with the previous CEO's strategy still being validated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In-ground residential swimming pool manufacturing is essentially immune to AI disruption — the core business involves physical manufacturing of fiberglass and vinyl pools, on-site installation by dealer networks, and ongoing maintenance relationships [1]. Pools require excavation, plumbing, electrical work, and structural engineering that AI cannot substitute. The supply chain involves raw materials (fiberglass, resins, vinyl), heavy manufacturing equipment, and logistics of oversized products that are inherently physical. No analyst has flagged AI as a risk factor for pool manufacturers. AI could theoretically improve design visualization for customers or optimize manufacturing processes, but the core business remains firmly in the physical world. AI Opportunity (0/1): No evidence of AI-generated revenue. Latham does not sell AI products or services, and while AI could eventually optimize manufacturing scheduling or demand forecasting, no quantifiable AI revenue contribution has been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Latham Group Q2 CY2026 Earnings Release and FY2026 Guidance — ir.lathampool.com, August 2026</w:t>
      </w:r>
    </w:p>
    <w:p>
      <w:pPr>
        <w:spacing w:before="20" w:after="20"/>
        <w:ind w:left="170"/>
      </w:pPr>
      <w:r>
        <w:rPr>
          <w:rFonts w:ascii="Calibri" w:hAnsi="Calibri"/>
          <w:b/>
          <w:color w:val="4A6B25"/>
          <w:sz w:val="15"/>
        </w:rPr>
        <w:t xml:space="preserve">2. </w:t>
      </w:r>
      <w:r>
        <w:rPr>
          <w:rFonts w:ascii="Calibri" w:hAnsi="Calibri"/>
          <w:b w:val="0"/>
          <w:color w:val="3A4A28"/>
          <w:sz w:val="17"/>
        </w:rPr>
        <w:t>Simply Wall St — Latham Group (SWIM) Stock Jumps as Profit Returns and Fiberglass Demand Builds, August 2026</w:t>
      </w:r>
    </w:p>
    <w:p>
      <w:pPr>
        <w:spacing w:before="20" w:after="20"/>
        <w:ind w:left="170"/>
      </w:pPr>
      <w:r>
        <w:rPr>
          <w:rFonts w:ascii="Calibri" w:hAnsi="Calibri"/>
          <w:b/>
          <w:color w:val="4A6B25"/>
          <w:sz w:val="15"/>
        </w:rPr>
        <w:t xml:space="preserve">3. </w:t>
      </w:r>
      <w:r>
        <w:rPr>
          <w:rFonts w:ascii="Calibri" w:hAnsi="Calibri"/>
          <w:b w:val="0"/>
          <w:color w:val="3A4A28"/>
          <w:sz w:val="17"/>
        </w:rPr>
        <w:t>Latham Group 2023 ESG Report — ir.lathampool.com, December 2024</w:t>
      </w:r>
    </w:p>
    <w:p>
      <w:pPr>
        <w:spacing w:before="20" w:after="20"/>
        <w:ind w:left="170"/>
      </w:pPr>
      <w:r>
        <w:rPr>
          <w:rFonts w:ascii="Calibri" w:hAnsi="Calibri"/>
          <w:b/>
          <w:color w:val="4A6B25"/>
          <w:sz w:val="15"/>
        </w:rPr>
        <w:t xml:space="preserve">4. </w:t>
      </w:r>
      <w:r>
        <w:rPr>
          <w:rFonts w:ascii="Calibri" w:hAnsi="Calibri"/>
          <w:b w:val="0"/>
          <w:color w:val="3A4A28"/>
          <w:sz w:val="17"/>
        </w:rPr>
        <w:t>Daily Political — Latham Group Shares Gap Up After Insider Buying Activity, May 2026</w:t>
      </w:r>
    </w:p>
    <w:p>
      <w:pPr>
        <w:spacing w:before="20" w:after="20"/>
        <w:ind w:left="170"/>
      </w:pPr>
      <w:r>
        <w:rPr>
          <w:rFonts w:ascii="Calibri" w:hAnsi="Calibri"/>
          <w:b/>
          <w:color w:val="4A6B25"/>
          <w:sz w:val="15"/>
        </w:rPr>
        <w:t xml:space="preserve">5. </w:t>
      </w:r>
      <w:r>
        <w:rPr>
          <w:rFonts w:ascii="Calibri" w:hAnsi="Calibri"/>
          <w:b w:val="0"/>
          <w:color w:val="3A4A28"/>
          <w:sz w:val="17"/>
        </w:rPr>
        <w:t>WallStreetZen — SWIM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