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SWK</w:t>
      </w:r>
      <w:r>
        <w:rPr>
          <w:rFonts w:ascii="Calibri" w:hAnsi="Calibri"/>
          <w:b/>
          <w:color w:val="1A2010"/>
          <w:sz w:val="40"/>
        </w:rPr>
        <w:t xml:space="preserve">  Stanley Black &amp; Decker, Inc.</w:t>
      </w:r>
    </w:p>
    <w:p>
      <w:pPr>
        <w:spacing w:after="120"/>
      </w:pPr>
      <w:r>
        <w:rPr>
          <w:rFonts w:ascii="Calibri" w:hAnsi="Calibri"/>
          <w:b/>
          <w:color w:val="6E8450"/>
          <w:sz w:val="18"/>
        </w:rPr>
        <w:t>DIVIDEND SLEEVE · 2026-07-21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Hardware · NYSE · United States</w:t>
      </w:r>
    </w:p>
    <w:p>
      <w:pPr>
        <w:spacing w:after="80"/>
      </w:pPr>
      <w:r>
        <w:rPr>
          <w:rFonts w:ascii="Calibri" w:hAnsi="Calibri"/>
          <w:b w:val="0"/>
          <w:color w:val="3A4A28"/>
          <w:sz w:val="20"/>
        </w:rPr>
        <w:t>Stanley Black &amp; Decker, Inc. is a diversified global provider of hand tools, power tools, and related accessories under the DEWALT, CRAFTSMAN, STANLEY, and Black+Decker brands, as well as industrial equipment, engineered fastening, and infrastructure solutions. The company serves professional contractors, industrial customers, and consumers worldwide. A Dividend King with 58 consecutive years of dividend increases and 149 consecutive years of dividend payments. Founded in 1843, headquartered in New Britain, Connecticut.</w:t>
      </w:r>
    </w:p>
    <w:p>
      <w:r>
        <w:rPr>
          <w:rFonts w:ascii="Calibri" w:hAnsi="Calibri"/>
          <w:b/>
          <w:color w:val="6E8450"/>
          <w:sz w:val="18"/>
        </w:rPr>
        <w:t>50,000 Employees · https://www.stanleyblackanddecker.com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Stanley Black &amp; Decker's last five years have been dominated by operational restructuring rather than breakthrough innovation. The 2021-2022 acquisitions of MTD Products ($1.6B) and Excel Industries to enter outdoor power equipment represented a strategic extension but led to significant overstocking and writedowns rather than successful market transformation [2]. The $2.1 billion Global Cost Reduction Program since mid-2022 reflects operational turnaround, not product innovation [2]. AI Deployment (0/2): No evidence of AI-powered products shipping to customers or quantified internal AI-driven savings. The company has not publicly discussed AI deployment strategies in recent filings or earnings calls [1]. Market Share (2/2): DEWALT is the #1 professional power tool brand globally with dominant market positions across construction and industrial applications. CRAFTSMAN holds leading consumer brand recognition in the U.S. market. The combined brand portfolio gives SWK category-defining presence in tools and storage [2]. Product Pipeline (1/2): The company has general product development activity across its brand portfolio, including battery platform extensions (DEWALT 20V MAX, FLEXVOLT), but has not announced specific next-generation products with defined launch dates or quantified revenue visibility [1]. R&amp;D Intensity (0/1): R&amp;D spending as a percentage of revenue is below the industrial sector average, as the company has prioritized cost restructuring and margin recovery over R&amp;D investment in recent years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'For Those Who Make The World' is a specific and thoughtful purpose statement that clearly identifies the company's constituency (makers, builders, creators) and connects their work to something larger than selling tools [3]. The mission differentiates from generic industrial company statements and has been consistently referenced across corporate communications, annual reports, and the ESG program. However, it has not been validated by decades of strategic decisions clearly tracing back to it -- recent years have been defined by financial restructuring rather than mission-driven innovation. Community Impact (1/2): The company's ESG program 'Focused on Impact' targets empowering 10 million creators and makers by 2030, innovating products to enhance 500 million lives, and achieving carbon-positive global operations [4]. These are structured programs with specific targets, though they represent standard corporate ESG commitments rather than distinctive community investment. Employee Retention (0/2): No specific employee retention, tenure, or voluntary turnover data was found in public filings or reports. The company has approximately 50,000 employees but does not publicly disclose retention metrics [2]. Insider Buying (0/2): Net insider selling predominates -- $264.9M in total insider sales versus $1.7M in purchases since 2010. No meaningful insider buying was identified in the last 12 months, and zero insiders have been net buyers over the past three years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$3.846B was up 2.72% year-over-year, though TTM revenue of $15.232B was essentially flat (-0.06% YoY) [1]. The company's 149-year dividend payment streak and 58 consecutive years of dividend increases earn maximum scores on payment history metrics, but the elevated payout ratio of 124.6% (paying out more than earned) is a significant red flag, scoring zero on that component [6]. ROE of 4.52% is well below the 15% target, reflecting the drag from restructuring charges and compressed margins [5]. Net profit margin of 2.66% is severely below the 20% target for a company of this scale. The forward P/E of 14.36 is the strongest metric, scoring a perfect 1.0, reflecting the market's expectation of significant earnings recovery from the $2.1B cost restructuring program. D/E of 72.42% is near the 70% target. The 5-year dividend growth CAGR of 3.48% is below the 6% target (2x inflation), earning a partial score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Stanley Black &amp; Decker demonstrates mixed infinite game characteristics. The company's 183-year operating history and 'For Those Who Make The World' purpose statement reflect genuine long-term orientation, and the Dividend King status (58 consecutive years of increases) signals commitment to enduring through cycles. However, the recent era has been defined by financial engineering -- aggressive acquisition-fueled growth in 2021-2022 followed by a massive $2.1B cost restructuring program -- which reflects finite game thinking (grow at any cost, then cut to recover). The leadership transition from Donald Allan to Christopher Nelson in October 2025 adds uncertainty about strategic continuity.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 Those Who Make The World' is a genuine purpose that connects tool-making to enabling human creation and construction. The company's 183-year history demonstrates endurance through multiple industrial revolutions, world wars, and economic cycles [2][3]. However, recent strategic decisions (debt-funded acquisitions of MTD and Excel Industries that led to writedowns, followed by deep restructuring) suggest the cause was subordinated to financial growth targets. The mission has not been tested through a values-driven sacrifice -- the restructuring was necessary for survival, not chosen in service of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Allan (CEO since 2022, with company since 2000) to Nelson (October 2025) appears orderly, with Allan transitioning to Executive Chair before planned retirement in October 2026 [3]. Former CEO Allan articulated a philosophy of 'set the vision and strategy with team input, then empower the team to execute,' which suggests a collaborative leadership style. However, the significant workforce reductions that accompanied the $2.1B cost restructuring likely impacted trust across the organization. No specific employee tenure or satisfaction data is available to assess organizational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public communications. The company's competitive language in earnings calls and investor presentations focuses on market share gains and competitive positioning against Techtronic Industries (Milwaukee), Bosch, and Makita in terms of 'winning' share rather than learning from rivals' strengths [1][2]. The aggressive acquisition strategy of 2021-2022 reflected a 'grow to dominate' finite game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Stanley Black &amp; Decker has evolved meaningfully over its 183-year history -- from a bolt-and-hinge maker to a diversified tools and industrial conglomerate. The company divested its security business to focus on tools and industrial. The entry into outdoor power equipment via MTD and Excel Industries was an attempt at strategic expansion, though its execution was poor [2]. These represent incremental strategic evolution rather than transformative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$2.1B Global Cost Reduction Program demonstrates operational courage -- management committed to a difficult multi-year restructuring with a clear 35% adjusted gross margin target, and has delivered on it while maintaining the Dividend King streak [2]. However, much of this 'courage' was forced by the consequences of overaggressive acquisitions and inventory mismanagement in 2021-2022, making it more reactive than proactively choosing long-term investment over short-term earnings. The maintained dividend despite a 124.6% payout ratio shows commitment to long-term shareholders, though it also raises questions about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Stanley Black &amp; Decker is executing on a multi-year operational turnaround, having delivered $2.1B in cumulative cost savings since mid-2022 with a clear path toward 35% adjusted gross margins [2]. The forward P/E of 14.36 reflects the market's expectation of significant earnings recovery, with 2026 adjusted EPS guidance of $4.90-$5.70 representing substantial growth over depressed trailing earnings [1]. The company's brand portfolio (DEWALT #1 in professional tools, CRAFTSMAN in consumer) provides durable competitive advantages, and the 149-year dividend payment streak signals institutional durability. At $92.67, SWK offers a 4.23% dividend yield with a credible earnings recovery story as restructuring benefits flow through.</w:t>
      </w:r>
    </w:p>
    <w:p>
      <w:pPr>
        <w:spacing w:after="120"/>
      </w:pPr>
      <w:r>
        <w:rPr>
          <w:rFonts w:ascii="Calibri" w:hAnsi="Calibri"/>
          <w:b w:val="0"/>
          <w:color w:val="3A4A28"/>
          <w:sz w:val="20"/>
        </w:rPr>
        <w:t>The primary concern is the unsustainable 124.6% payout ratio, which means SWK is paying more in dividends than it earns -- the 58-year streak of dividend increases survives on the expectation of earnings recovery, not current cash generation [6]. Revenue has been flat to declining for three years ($15.37B in 2024 to $15.13B in 2025), and the 5-year revenue CAGR of just 0.9% reveals no organic growth engine [1]. ROE of 4.52% and net profit margin of 2.66% remain far below industrial peers despite $2.1B in cost cuts, raising questions about whether the margin recovery thesis can fully materialize. The CEO transition to Christopher Nelson in October 2025 introduces execution risk during a critical turnaround period, and tariff exposure on imported tools adds macro uncertainty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35% adjusted gross margin target through completion of Global Cost Reduction Program, which would normalize EPS to the $5-6 range and bring the payout ratio back below 100%</w:t>
      </w:r>
    </w:p>
    <w:p>
      <w:pPr>
        <w:spacing w:before="40" w:after="40"/>
        <w:ind w:left="283"/>
      </w:pPr>
      <w:r>
        <w:rPr>
          <w:rFonts w:ascii="Calibri" w:hAnsi="Calibri"/>
          <w:b/>
          <w:color w:val="4A6B25"/>
          <w:sz w:val="20"/>
        </w:rPr>
        <w:t xml:space="preserve">2. </w:t>
      </w:r>
      <w:r>
        <w:rPr>
          <w:rFonts w:ascii="Calibri" w:hAnsi="Calibri"/>
          <w:b w:val="0"/>
          <w:color w:val="3A4A28"/>
          <w:sz w:val="20"/>
        </w:rPr>
        <w:t>Q1 2026 organic revenue growth of 2.72% may signal inflection from three years of flat-to-declining sales, particularly if housing starts and construction activity accelerate in H2 2026</w:t>
      </w:r>
    </w:p>
    <w:p>
      <w:pPr>
        <w:spacing w:before="40" w:after="40"/>
        <w:ind w:left="283"/>
      </w:pPr>
      <w:r>
        <w:rPr>
          <w:rFonts w:ascii="Calibri" w:hAnsi="Calibri"/>
          <w:b/>
          <w:color w:val="4A6B25"/>
          <w:sz w:val="20"/>
        </w:rPr>
        <w:t xml:space="preserve">3. </w:t>
      </w:r>
      <w:r>
        <w:rPr>
          <w:rFonts w:ascii="Calibri" w:hAnsi="Calibri"/>
          <w:b w:val="0"/>
          <w:color w:val="3A4A28"/>
          <w:sz w:val="20"/>
        </w:rPr>
        <w:t>New CEO Christopher Nelson brings fresh strategic energy with three stated imperatives: activating brands with purpose, driving operational excellence, and accelerating innovation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124.6% is unsustainable -- if earnings recovery stalls, the 58-year dividend growth streak could be broken, which would devastate the shareholder base and stock price</w:t>
      </w:r>
    </w:p>
    <w:p>
      <w:pPr>
        <w:spacing w:before="40" w:after="40"/>
        <w:ind w:left="283"/>
      </w:pPr>
      <w:r>
        <w:rPr>
          <w:rFonts w:ascii="Calibri" w:hAnsi="Calibri"/>
          <w:b/>
          <w:color w:val="4A6B25"/>
          <w:sz w:val="20"/>
        </w:rPr>
        <w:t xml:space="preserve">2. </w:t>
      </w:r>
      <w:r>
        <w:rPr>
          <w:rFonts w:ascii="Calibri" w:hAnsi="Calibri"/>
          <w:b w:val="0"/>
          <w:color w:val="3A4A28"/>
          <w:sz w:val="20"/>
        </w:rPr>
        <w:t>Net profit margin of 2.66% and ROE of 4.52% remain structurally weak despite $2.1B in cost cuts, suggesting the business may have permanently lower earning power post-acquisition integration challenges</w:t>
      </w:r>
    </w:p>
    <w:p>
      <w:pPr>
        <w:spacing w:before="40" w:after="40"/>
        <w:ind w:left="283"/>
      </w:pPr>
      <w:r>
        <w:rPr>
          <w:rFonts w:ascii="Calibri" w:hAnsi="Calibri"/>
          <w:b/>
          <w:color w:val="4A6B25"/>
          <w:sz w:val="20"/>
        </w:rPr>
        <w:t xml:space="preserve">3. </w:t>
      </w:r>
      <w:r>
        <w:rPr>
          <w:rFonts w:ascii="Calibri" w:hAnsi="Calibri"/>
          <w:b w:val="0"/>
          <w:color w:val="3A4A28"/>
          <w:sz w:val="20"/>
        </w:rPr>
        <w:t>Tariff exposure on China-sourced tools and components, combined with potential housing market weakness, could pressure both revenue and margins during the critical turnaround execution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Stanley Black &amp; Decker's core business is fundamentally immune to AI disruption. The company manufactures and sells physical tools, hardware, and industrial equipment -- products that require physical-world manufacturing, distribution, and end-use by human hands [2]. AI cannot substitute for a DEWALT drill, a CRAFTSMAN wrench, or a STANLEY tape measure. The company's global manufacturing footprint, 183-year brand equity, and distribution relationships with Home Depot, Lowe's, and industrial distributors represent physical-world moats that AI structurally cannot displace. Construction, manufacturing, and infrastructure maintenance -- SWK's core end markets -- involve physical labor that AI cannot perform. AI-driven automation in manufacturing may even increase demand for industrial tools and fastening systems. No analyst coverage has flagged AI as a substitution risk for the tools and hardware industry [1]. AI Opportunity (0/1): The company does not generate meaningful revenue from AI-related products or services. No AI-powered product lines or quantified AI-driven revenue has been reported in earnings calls or filings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Stanley Black &amp; Decker Q1 2026 Earnings Release -- Revenue $3.846B, up 2.72% YoY, May 2026</w:t>
      </w:r>
    </w:p>
    <w:p>
      <w:pPr>
        <w:spacing w:before="20" w:after="20"/>
        <w:ind w:left="170"/>
      </w:pPr>
      <w:r>
        <w:rPr>
          <w:rFonts w:ascii="Calibri" w:hAnsi="Calibri"/>
          <w:b/>
          <w:color w:val="4A6B25"/>
          <w:sz w:val="15"/>
        </w:rPr>
        <w:t xml:space="preserve">2. </w:t>
      </w:r>
      <w:r>
        <w:rPr>
          <w:rFonts w:ascii="Calibri" w:hAnsi="Calibri"/>
          <w:b w:val="0"/>
          <w:color w:val="3A4A28"/>
          <w:sz w:val="17"/>
        </w:rPr>
        <w:t>Stanley Black &amp; Decker FY2025 Annual Report -- Revenue $15.13B, $2.1B cumulative cost savings, 35% margin target</w:t>
      </w:r>
    </w:p>
    <w:p>
      <w:pPr>
        <w:spacing w:before="20" w:after="20"/>
        <w:ind w:left="170"/>
      </w:pPr>
      <w:r>
        <w:rPr>
          <w:rFonts w:ascii="Calibri" w:hAnsi="Calibri"/>
          <w:b/>
          <w:color w:val="4A6B25"/>
          <w:sz w:val="15"/>
        </w:rPr>
        <w:t xml:space="preserve">3. </w:t>
      </w:r>
      <w:r>
        <w:rPr>
          <w:rFonts w:ascii="Calibri" w:hAnsi="Calibri"/>
          <w:b w:val="0"/>
          <w:color w:val="3A4A28"/>
          <w:sz w:val="17"/>
        </w:rPr>
        <w:t>Stanley Black &amp; Decker Leadership Transition Press Release -- Nelson as CEO Oct 2025, Allan as Executive Chair, IR.StanleyBlackandDecker.com, July 2025</w:t>
      </w:r>
    </w:p>
    <w:p>
      <w:pPr>
        <w:spacing w:before="20" w:after="20"/>
        <w:ind w:left="170"/>
      </w:pPr>
      <w:r>
        <w:rPr>
          <w:rFonts w:ascii="Calibri" w:hAnsi="Calibri"/>
          <w:b/>
          <w:color w:val="4A6B25"/>
          <w:sz w:val="15"/>
        </w:rPr>
        <w:t xml:space="preserve">4. </w:t>
      </w:r>
      <w:r>
        <w:rPr>
          <w:rFonts w:ascii="Calibri" w:hAnsi="Calibri"/>
          <w:b w:val="0"/>
          <w:color w:val="3A4A28"/>
          <w:sz w:val="17"/>
        </w:rPr>
        <w:t>Stanley Black &amp; Decker ESG Report 'Focused on Impact' -- Sustainability targets, MSCI BBB rating,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SWK Key Statistics (PE 28.37, ROE 4.52%, D/E 72.42%),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Stanley Black &amp; Decker Dividend History -- 149 consecutive years paid, 58 consecutive increases, $3.32 annual dividend, IR.StanleyBlackandDecker.com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