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SXC</w:t>
      </w:r>
      <w:r>
        <w:rPr>
          <w:rFonts w:ascii="Calibri" w:hAnsi="Calibri"/>
          <w:b/>
          <w:color w:val="1A2010"/>
          <w:sz w:val="40"/>
        </w:rPr>
        <w:t xml:space="preserve">  SunCoke Energy, Inc.</w:t>
      </w:r>
    </w:p>
    <w:p>
      <w:pPr>
        <w:spacing w:after="120"/>
      </w:pPr>
      <w:r>
        <w:rPr>
          <w:rFonts w:ascii="Calibri" w:hAnsi="Calibri"/>
          <w:b/>
          <w:color w:val="6E8450"/>
          <w:sz w:val="18"/>
        </w:rPr>
        <w:t>DIVIDEND SLEEVE · 2026-07-22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Coking Coal · NYSE · United States</w:t>
      </w:r>
    </w:p>
    <w:p>
      <w:pPr>
        <w:spacing w:after="80"/>
      </w:pPr>
      <w:r>
        <w:rPr>
          <w:rFonts w:ascii="Calibri" w:hAnsi="Calibri"/>
          <w:b w:val="0"/>
          <w:color w:val="3A4A28"/>
          <w:sz w:val="20"/>
        </w:rPr>
        <w:t>SunCoke Energy is the largest independent producer of high-quality metallurgical coke in the Americas, with over 45 years of production experience using proprietary heat recovery cokemaking technology. The company operates through two segments: Domestic Coke (serving blast furnace steelmakers) and Industrial Services (material handling, scrap processing, and logistics for steel and industrial customers). SunCoke acquired Phoenix Global in 2025 to expand industrial services.</w:t>
      </w:r>
    </w:p>
    <w:p>
      <w:r>
        <w:rPr>
          <w:rFonts w:ascii="Calibri" w:hAnsi="Calibri"/>
          <w:b/>
          <w:color w:val="6E8450"/>
          <w:sz w:val="18"/>
        </w:rPr>
        <w:t>2,477 Employees · https://www.suncoke.com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Phoenix Global acquisition in 2025 expanded SunCoke's Industrial Services segment into scrap processing and logistics, representing strategic diversification beyond core cokemaking, though incremental rather than transformative [1][2]. AI Deployment (0/2): No evidence of AI deployment in operations or services; SunCoke operates traditional industrial processes with no announced AI initiatives [2]. Market Share (1/2): SunCoke is the largest independent coke producer in the Americas with 45+ years of experience and recently extended long-term contracts, demonstrating meaningful market position in a niche category [1][2]. Pipeline (1/2): Phoenix Global integration and extended customer contracts provide revenue visibility; the Industrial Services segment is diversifying into logistics and scrap processing, though these are adjacent extensions rather than new product categories [1]. R&amp;D Intensity (0/1): No evidence of meaningful R&amp;D investment; the company operates mature industrial processes without significant technology development spend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SunCoke's mission focuses on being a leading producer of metallurgical coke with environmentally sound operations — a functional but generic industrial mission interchangeable with most basic materials peers [2][6]. Community Impact (1/2): The company employs 2,477 workers across its facilities and emphasizes environmental stewardship through heat recovery technology that captures excess heat for steam and electrical power generation, reducing emissions versus traditional cokemaking, though no specific charitable programs or community investment figures were identified [6]. Employee Retention (1/2): CEO Katherine Gates has been with SunCoke for over 12 years before being promoted to CEO in May 2024, demonstrating leadership continuity and internal talent development [3]. However, Glassdoor rating of 3.3/5 with 3.0/5 for culture and values indicates mediocre employee sentiment [3]. Insider Buying (0/2): No evidence of meaningful net insider buying by leadership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cleared: avg_daily_volume (~1.8M) x stock_price ($8.42) = ~$15.2M [5]. Dividend stock scored mechanically on available metrics. D/E improved to 72% (near 70% target, scoring 0.99) reflecting deleveraging from Phoenix Global acquisition debt [5]. ROE recovered to 13.96% (scoring 0.93, approaching 15% target) as the company returns to profitability [5]. Revenue Growth YoY of -5.1% for FY2025 scores 0.50 [4]. Revenue Growth 5yr CAGR of ~-2% scores 0.20. Forward P/E of 15.83 scores 1.0 (well below 20 target) [5]. Profit margin of 1.31% scores 0.07 (well below 20% target) [4]. Dividend metrics: payout ratio ~90% scores 0.17; consecutive years paid ~8 scores 0.80 at 2x weight; consecutive years growth ~4 scores 0.40; 5yr dividend growth CAGR of 14.9% scores 1.0 at 2x weight [5]. Weighted sum: 7.85/12 x 10 = 6.5, rounded to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SunCoke demonstrates mixed infinite game characteristics. The company has maintained its core cokemaking business for 45+ years and strategically diversified through the Phoenix Global acquisition, showing some long-term orientation. However, the business is fundamentally tied to blast furnace steelmaking — a potentially declining technology as the steel industry shifts toward electric arc furnaces — and there is limited evidence of a Just Cause beyond operational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SunCoke's purpose centers on being the leading coke producer with environmental stewardship through heat-recovery technology, but this reads as a business objective rather than a Just Cause [2][6]. The company's innovative cokemaking process reduces environmental impact versus traditional methods, which shows some purposefulness, but the mission doesn't articulate a vision of a better future beyond efficient industrial operations.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Katherine Gates' 12+ year tenure at SunCoke before being promoted to CEO in May 2024 suggests leadership continuity and internal talent development [3]. Board tenure averages longer, providing organizational stability. However, Glassdoor ratings of 3.3/5 overall and 3.0/5 for culture/values indicate a mediocre organizational environment with employee reviews citing resource constraints and leadership accountability gaps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SunCoke positions itself as the 'largest independent coke producer in the Americas' — framing competition in terms of market dominance rather than learning from rivals [1][2]. No management commentary references worthy competitors or self-improvement through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Phoenix Global acquisition diversified SunCoke from pure cokemaking into industrial services (scrap processing, logistics, material handling), showing willingness to evolve the business model [1]. Management maintained FY2026 guidance despite Q1 weather disruptions, showing operational resilience. However, this is adjacent expansion rather than transformative reinvention, and the core business remains tied to blast furnace technology facing long-term secular decline from EAF adoption.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Phoenix Global acquisition represented a meaningful strategic bet to diversify beyond core cokemaking during a period of industry transition. CEO Katherine Gates maintained FY2026 guidance of $18-36M net income despite Q1 2026 posting a $3.4M net loss from weather disruptions, demonstrating commitment to the long-term plan [1][4]. However, the acquisition was conventional rather than transformative, and there is limited evidence of sacrificing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SunCoke Energy offers a 5.7% dividend yield at $8.42 (up 28% from April) supported by the largest independent metallurgical coke operation in the Americas and a diversifying Industrial Services segment bolstered by the Phoenix Global acquisition [1][5]. Management guides $18-36M net income and $230-250M adjusted EBITDA for 2026, with Domestic Coke contributing $162-168M and Industrial Services (including a full year of Phoenix) contributing $90-100M EBITDA [1]. The company maintained full-year guidance despite a weak Q1 2026 ($3.4M net loss from weather disruptions), signaling confidence in second-half recovery [4]. The dividend has grown at a 14.9% 5-year CAGR ($0.24 to $0.48 annually), and the stock trades at a forward P/E of 15.83 [5].</w:t>
      </w:r>
    </w:p>
    <w:p>
      <w:pPr>
        <w:spacing w:after="120"/>
      </w:pPr>
      <w:r>
        <w:rPr>
          <w:rFonts w:ascii="Calibri" w:hAnsi="Calibri"/>
          <w:b w:val="0"/>
          <w:color w:val="3A4A28"/>
          <w:sz w:val="20"/>
        </w:rPr>
        <w:t>The bear case centers on cyclicality, secular decline, and payout sustainability. SunCoke's core coke business is structurally tied to blast furnace steelmaking, which faces long-term decline as EAF now represents over 70% of U.S. steel production [1]. FY2025 revenue declined 5.1% to $1.8B, and Q1 2026 showed a $3.4M net loss versus $19.4M net income a year earlier [4]. The payout ratio of ~90% on forward earnings (estimated from forward P/E of 15.83) leaves minimal margin of safety for the $0.48 annual dividend, and at the midpoint of $18-36M net income guidance, EPS would only be ~$0.32, making the payout ratio exceed 100% [1][5]. Profit margin of 1.31% provides almost no cushion for operational disruptions, and the company remains exposed to steel industry cyclicality, raw material costs, and aging facility risks like the Middletown turbine failure.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Phoenix Global integration delivering full-year Industrial Services EBITDA of $90-100M and synergies through 2026, diversifying the revenue base beyond core coke [1]</w:t>
      </w:r>
    </w:p>
    <w:p>
      <w:pPr>
        <w:spacing w:before="40" w:after="40"/>
        <w:ind w:left="283"/>
      </w:pPr>
      <w:r>
        <w:rPr>
          <w:rFonts w:ascii="Calibri" w:hAnsi="Calibri"/>
          <w:b/>
          <w:color w:val="4A6B25"/>
          <w:sz w:val="20"/>
        </w:rPr>
        <w:t xml:space="preserve">2. </w:t>
      </w:r>
      <w:r>
        <w:rPr>
          <w:rFonts w:ascii="Calibri" w:hAnsi="Calibri"/>
          <w:b w:val="0"/>
          <w:color w:val="3A4A28"/>
          <w:sz w:val="20"/>
        </w:rPr>
        <w:t>Second-half 2026 recovery restoring profitability after weather-disrupted Q1, with management maintaining $18-36M net income guidance [4]</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from 14.9% 5-year CAGR — the 5.7% yield at $8.42 remains attractive if the company achieves the upper end of guidance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blast furnace steelmaking as EAF adoption accelerates past 70% of U.S. production — SunCoke's core coke demand is structurally at risk from this industry transition [1]</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at risk — payout ratio of ~90% on forward earnings and potentially 150% on midpoint guidance leaves no margin of safety, requiring top-end earnings to cover the $0.48 annual dividend [1][5]</w:t>
      </w:r>
    </w:p>
    <w:p>
      <w:pPr>
        <w:spacing w:before="40" w:after="40"/>
        <w:ind w:left="283"/>
      </w:pPr>
      <w:r>
        <w:rPr>
          <w:rFonts w:ascii="Calibri" w:hAnsi="Calibri"/>
          <w:b/>
          <w:color w:val="4A6B25"/>
          <w:sz w:val="20"/>
        </w:rPr>
        <w:t xml:space="preserve">3. </w:t>
      </w:r>
      <w:r>
        <w:rPr>
          <w:rFonts w:ascii="Calibri" w:hAnsi="Calibri"/>
          <w:b w:val="0"/>
          <w:color w:val="3A4A28"/>
          <w:sz w:val="20"/>
        </w:rPr>
        <w:t>Thin profit margin of 1.31% provides virtually no buffer against operational disruptions, raw material cost spikes, or further weather-related production shortfalls like the Q1 2026 loss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SunCoke's core business — producing metallurgical coke through high-temperature heat recovery cokemaking for blast furnace steelmaking — is a physical-world industrial process that AI structurally cannot displace [1][2]. The company operates heavy industrial facilities, logistics terminals, and provides on-site material handling and scrap processing services requiring physical infrastructure. AI cannot substitute for coke in steelmaking, nor replace the physical services of the Industrial Services segment. No analysts have flagged AI as a disruption risk for SunCoke. AI Opportunity (0/1): No evidence of AI-related revenue generation. SunCoke does not deploy or sell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SunCoke Energy 2025 Annual Results and 2026 Guidance — $230-250M adjusted EBITDA target, Phoenix Global integration, February 2026</w:t>
      </w:r>
    </w:p>
    <w:p>
      <w:pPr>
        <w:spacing w:before="20" w:after="20"/>
        <w:ind w:left="170"/>
      </w:pPr>
      <w:r>
        <w:rPr>
          <w:rFonts w:ascii="Calibri" w:hAnsi="Calibri"/>
          <w:b/>
          <w:color w:val="4A6B25"/>
          <w:sz w:val="15"/>
        </w:rPr>
        <w:t xml:space="preserve">2. </w:t>
      </w:r>
      <w:r>
        <w:rPr>
          <w:rFonts w:ascii="Calibri" w:hAnsi="Calibri"/>
          <w:b w:val="0"/>
          <w:color w:val="3A4A28"/>
          <w:sz w:val="17"/>
        </w:rPr>
        <w:t>SunCoke Energy corporate website — management team, heat-recovery technology, environmental stewardship,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SunCoke Energy CEO succession (Katherine Gates succeeding Michael Rippey, May 2024) and Glassdoor reviews (3.3/5, 72 reviews),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SunCoke Energy Q1 2026 10-Q — revenue $455.1M, net loss $3.4M, full-year guidance maintained, May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Yahoo Finance — SXC key statistics, forward P/E 15.83, D/E 72%, ROE 13.96%,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SunCoke Energy ESG disclosures and CSRHub sustainability ratings,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