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TFC</w:t>
      </w:r>
      <w:r>
        <w:rPr>
          <w:rFonts w:ascii="Calibri" w:hAnsi="Calibri"/>
          <w:b/>
          <w:color w:val="1A2010"/>
          <w:sz w:val="40"/>
        </w:rPr>
        <w:t xml:space="preserve">  Truist Financial Corporation</w:t>
      </w:r>
    </w:p>
    <w:p>
      <w:pPr>
        <w:spacing w:after="120"/>
      </w:pPr>
      <w:r>
        <w:rPr>
          <w:rFonts w:ascii="Calibri" w:hAnsi="Calibri"/>
          <w:b/>
          <w:color w:val="6E8450"/>
          <w:sz w:val="18"/>
        </w:rPr>
        <w:t>DIVIDEND SLEEVE · 2026-08-18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Truist Financial Corporation is a diversified financial services company and the seventh-largest US bank by assets, operating through Consumer and Small Business Banking and Wholesale Banking segments. Formed from the 2019 merger of BB&amp;T and SunTrust, Truist provides deposit products, lending, investment banking, wealth management, and payment solutions across the Southeastern and Mid-Atlantic United States. Q2 2026 delivered net income of $1.55B, EPS of $1.23 (+37% YoY), and total revenue of $5.31B (+5.5% YoY). The company is targeting $5B in share buybacks for FY2026 and is transitioning CEO to Michael Lyons in September 2026. Headquartered in Charlotte, North Carolina.</w:t>
      </w:r>
    </w:p>
    <w:p>
      <w:r>
        <w:rPr>
          <w:rFonts w:ascii="Calibri" w:hAnsi="Calibri"/>
          <w:b/>
          <w:color w:val="6E8450"/>
          <w:sz w:val="18"/>
        </w:rPr>
        <w:t>37,877 Employees · https://www.truist.com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BB&amp;T/SunTrust merger created the seventh-largest US bank, but integration consumed years of management attention. Truist subsequently divested Truist Insurance Holdings for $15.5B to focus on core banking, and has delivered three consecutive quarters of positive operating leverage with Q2 2026 EPS up 37% YoY [1]. Investment banking and trading income surged 72% YoY in Q2 2026. However, these gains reflect post-merger optimization and market conditions rather than category-defining innovation. AI Deployment (2/2): Truist has deployed over 50 AI use cases across fraud prevention, digital engagement, call centers, wholesale banking, and internal operations [2]. The appointments of Pascal Belaud (ex-Microsoft) as Chief AI &amp; Data Officer and Lo Li (ex-Capital One) as chief technology officer for consumer banking signal serious AI commitment. Truist's CIO ranked #34 on American Banker's Most Innovative People in Finance list [2]. Market Share (1/2): Truist is the seventh-largest US bank by assets with strong Southeastern market presence serving ~10 million households, but lacks the scale advantages of JPMorgan or Bank of America and faces competitive pressure from digital-native fintechs. Product Pipeline (1/2): Full-year 2026 guidance projects revenue growth of 3.5-4% with $5B in buybacks (doubled from prior year) and a new ROTCE target of 16-18%, signaling confidence but no transformative product initiatives beyond the AI-enhanced banking platform [1]. R&amp;D Intensity (1/1): Technology investment is meaningful — hiring senior AI leaders from Microsoft and Capital One represents top-quartile technology commitment for a regional bank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Truist's purpose is to 'inspire and build better lives and communities' — an intentional step beyond pure banking that connects to the company's $1.25B social bond for affordable housing and nonprofit services [3]. The purpose is aspirational and thoughtful but generic for a large bank, and the post-merger identity continues to establish itself. Community Impact (2/2): The $1.25B social bond for affordable housing, community development lending, and nonprofit investment demonstrates tangible community commitment [3]. Truist Foundation is active in financial literacy, small business support, and workforce development. The company raised its minimum wage to $22/hour, positioning it as an industry leader in compensation. Employee Retention (0/2): Glassdoor rating of 3.3/5 with only 47% recommending and 38% having a positive outlook is concerning [2]. Reviews describe leadership that 'does not prioritize its people,' with culture investments 'systematically stripped away' during post-merger restructuring. The mandatory five-days-in-office policy effective January 2026 was cited as a significant morale headwind [2]. Insider Buying (1/2): The orderly CEO succession plan — Bill Rogers transitioning to executive chair with Michael Lyons assuming CEO in September 2026 — and the doubled $5B buyback program signal institutional confidence [1]. However, no evidence of meaningful personal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11.15x is well below the 20x target, reflecting attractive value for a bank delivering 37% EPS growth in Q2 2026 [1][4]. Profit margin of 27.1% exceeds the 20% target, reflecting the high-margin nature of banking operations. ROE of 9.41% is below the 15% target but improving — ROTCE targets of 16-18% suggest further expansion ahead [1]. D/E of 93.16% is above the 70% target but typical for banking's leveraged business model. Revenue growth YoY of 5.5% (Q2 2026) and 5-year CAGR of ~2% are below the 10% targets, reflecting post-merger normalization and volatile rate environments. Dividend yield of 3.98% with ~48% payout ratio provides solid income, though consecutive dividend growth of 3 years and 5-year dividend CAGR of ~2% are modest relative to targets. The $5B buyback target for 2026 supplements the yield. Liquidity floor easily cleared at ~$469M daily traded value (9.05M shares x $51.84)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Truist demonstrates moderate infinite-game characteristics rooted in its 154-year heritage (BB&amp;T founded 1872) and community banking mission. The merger itself was a bold long-term bet, and the orderly CEO succession plan shows institutional continuity. However, post-merger cultural challenges, significant workforce reductions, mandatory return-to-office mandates, and mixed Glassdoor ratings suggest the company's infinite aspirations haven't fully translated into organizational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Truist's purpose to 'inspire and build better lives and communities' is backed by tangible action — the $1.25B social bond for affordable housing, community development lending, and the Truist Foundation's financial literacy programs [3]. The 154-year heritage (BB&amp;T founded 1872) demonstrates multi-generational commitment to community banking. The $22/hour minimum wage investment connects purpose to action. However, the merged entity is only 7 years old, and the purpose hasn't been tested through a crisis that would prove whether it drives decision-making under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3.3/5 with only 47% recommending and 38% positive outlook reveals organizational health challenges [2]. Reviews describe leadership that 'does not prioritize its people' and culture investments being 'systematically stripped away' during post-merger integration. The mandatory five-days-in-office policy effective January 2026 created additional morale headwinds. The Leadership Development Program's 4.5/5 rating suggests a two-tier culture where top talent thrives while frontline workers feel undervalued. The organization is stable but trust remains adequate rather than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Truist competes against JPMorgan Chase, Bank of America, Wells Fargo, and digital disruptors like Capital One. The company's response — hiring AI talent from Microsoft and Capital One, deploying 50+ AI use cases, building investment banking capabilities (+72% YoY) — shows a learn-and-adapt posture rather than competitive denial [1][2]. The BB&amp;T/SunTrust merger itself was a response to recognizing that individual institutions lacked the scale to compete effectively with megabanks.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BB&amp;T/SunTrust merger of equals in 2019 represented meaningful strategic adaptation — both institutions recognized they needed scale to compete and were willing to sacrifice individual identity for a stronger combined entity [1]. The subsequent divestiture of Truist Insurance Holdings for $15.5B showed further willingness to reshape the portfolio and focus on core banking. However, the company has not fundamentally reinvented itself — it remains a regional bank, now larger, executing the same business model with incremental enhancements.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merger required courage from both BB&amp;T and SunTrust leadership, and the post-merger optimization has delivered strong results — 37% EPS growth in Q2 2026, positive operating leverage, and the doubled $5B buyback program [1]. Divesting the profitable insurance business for $15.5B to simplify and refocus was a disciplined capital allocation choice. However, employee reviews describing culture investments being 'stripped away' and the aggressive cost-cutting approach suggest leadership has prioritized financial metrics over organizational health in several instances.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Truist Financial is a post-merger optimization story delivering accelerating returns at an attractive valuation. Q2 2026 demonstrated 37% EPS growth ($1.23), revenue of $5.31B (+5.5% YoY), and noninterest income growth of 17% led by a 72% surge in investment banking and trading [1]. Forward P/E of 11.15x with a 3.98% dividend yield and PEG of 1.35 represents compelling value for a bank on an improving earnings trajectory. The $5B share buyback target for 2026 (doubled from prior year) signals management confidence in capital generation, and the new ROTCE target of 16-18% from 13.8% suggests meaningful profitability improvement ahead [1]. Truist's proactive AI deployment (50+ use cases, Chief AI Officer from Microsoft) positions it ahead of most regional bank peers in technology adoption [2]. With 16 positive Inspire attributions and a $1.25B social bond for affordable housing, Truist demonstrates broad stakeholder commitment [3].</w:t>
      </w:r>
    </w:p>
    <w:p>
      <w:pPr>
        <w:spacing w:after="120"/>
      </w:pPr>
      <w:r>
        <w:rPr>
          <w:rFonts w:ascii="Calibri" w:hAnsi="Calibri"/>
          <w:b w:val="0"/>
          <w:color w:val="3A4A28"/>
          <w:sz w:val="20"/>
        </w:rPr>
        <w:t>The bear case centers on revenue growth constraints, cultural challenges, and the approaching CEO transition. Full-year 2026 NII growth guidance of 0.9% reflects interest rate sensitivity and competitive deposit pricing pressure, with total revenue growth guided at 3.5-4% relying heavily on fee income acceleration [1]. ROE of 9.41% remains well below the 15% target, and the gap between current ROTCE (~14%) and the 16-18% long-term goal requires sustained execution. Glassdoor rating of 3.3/5 with 47% recommendation rate and the mandatory five-days-in-office policy suggest organizational health concerns that could constrain talent acquisition and service quality [2]. The CEO transition to Michael Lyons in September 2026, while orderly, introduces near-term execution uncertainty at a critical juncture for the AI and efficiency transformation. The Inspire Impact Score of -49 (MISALIGNED) due to LGBT Activism attributions limits the investor universe for faith-aligned portfolios despite 16 positive ESG attributions. The 5-year revenue CAGR of ~2% reflects the structural challenges of regional banking — Truist must continuously invest in digital capabilities to prevent deposit and lending share erosion to fintechs and megabanks.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ROTCE toward the 16-18% long-term target from ~14% current, driven by positive operating leverage, 72% IB/trading income growth, and continued expense optimization — full-year expense growth guided at only 1.75% [1]</w:t>
      </w:r>
    </w:p>
    <w:p>
      <w:pPr>
        <w:spacing w:before="40" w:after="40"/>
        <w:ind w:left="283"/>
      </w:pPr>
      <w:r>
        <w:rPr>
          <w:rFonts w:ascii="Calibri" w:hAnsi="Calibri"/>
          <w:b/>
          <w:color w:val="4A6B25"/>
          <w:sz w:val="20"/>
        </w:rPr>
        <w:t xml:space="preserve">2. </w:t>
      </w:r>
      <w:r>
        <w:rPr>
          <w:rFonts w:ascii="Calibri" w:hAnsi="Calibri"/>
          <w:b w:val="0"/>
          <w:color w:val="3A4A28"/>
          <w:sz w:val="20"/>
        </w:rPr>
        <w:t>$5B share buyback target for 2026 combined with 3.98% dividend yield creates a compelling total capital return proposition exceeding 10% of market cap, supporting stock price appreciation [1]</w:t>
      </w:r>
    </w:p>
    <w:p>
      <w:pPr>
        <w:spacing w:before="40" w:after="40"/>
        <w:ind w:left="283"/>
      </w:pPr>
      <w:r>
        <w:rPr>
          <w:rFonts w:ascii="Calibri" w:hAnsi="Calibri"/>
          <w:b/>
          <w:color w:val="4A6B25"/>
          <w:sz w:val="20"/>
        </w:rPr>
        <w:t xml:space="preserve">3. </w:t>
      </w:r>
      <w:r>
        <w:rPr>
          <w:rFonts w:ascii="Calibri" w:hAnsi="Calibri"/>
          <w:b w:val="0"/>
          <w:color w:val="3A4A28"/>
          <w:sz w:val="20"/>
        </w:rPr>
        <w:t>AI-driven transformation with 50+ deployed use cases and senior hires from Microsoft (Chief AI Officer) and Capital One (consumer tech chief) could meaningfully improve cost efficiency and competitive positioning versus both megabanks and fintechs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NII growth of only 0.9% YoY in Q2 2026 reflects interest rate sensitivity and competitive deposit pricing — further compression could stall earnings momentum and the ROTCE improvement trajectory [1]</w:t>
      </w:r>
    </w:p>
    <w:p>
      <w:pPr>
        <w:spacing w:before="40" w:after="40"/>
        <w:ind w:left="283"/>
      </w:pPr>
      <w:r>
        <w:rPr>
          <w:rFonts w:ascii="Calibri" w:hAnsi="Calibri"/>
          <w:b/>
          <w:color w:val="4A6B25"/>
          <w:sz w:val="20"/>
        </w:rPr>
        <w:t xml:space="preserve">2. </w:t>
      </w:r>
      <w:r>
        <w:rPr>
          <w:rFonts w:ascii="Calibri" w:hAnsi="Calibri"/>
          <w:b w:val="0"/>
          <w:color w:val="3A4A28"/>
          <w:sz w:val="20"/>
        </w:rPr>
        <w:t>Glassdoor rating of 3.3/5 with 47% recommendation rate and mandatory five-days-in-office policy (Jan 2026) signal organizational health risk that could drive talent attrition during a critical technology transformation period [2]</w:t>
      </w:r>
    </w:p>
    <w:p>
      <w:pPr>
        <w:spacing w:before="40" w:after="40"/>
        <w:ind w:left="283"/>
      </w:pPr>
      <w:r>
        <w:rPr>
          <w:rFonts w:ascii="Calibri" w:hAnsi="Calibri"/>
          <w:b/>
          <w:color w:val="4A6B25"/>
          <w:sz w:val="20"/>
        </w:rPr>
        <w:t xml:space="preserve">3. </w:t>
      </w:r>
      <w:r>
        <w:rPr>
          <w:rFonts w:ascii="Calibri" w:hAnsi="Calibri"/>
          <w:b w:val="0"/>
          <w:color w:val="3A4A28"/>
          <w:sz w:val="20"/>
        </w:rPr>
        <w:t>Regional bank structural headwinds: AI-powered fintechs and megabank digital platforms continue to erode traditional banking's branch-based moat, and Truist's Southeast concentration creates geographic risk if the region's economic growth slows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Traditional banking faces genuine AI disruption risk from digital-native fintechs (SoFi, Chime, Robinhood) that use AI to undercut branch-based cost structures and from big tech financial services (Apple Pay, Google Pay) that leverage AI for superior user experiences [2]. Truist's branch-heavy Southeast model is vulnerable to digital migration, and AI-powered lending platforms could erode commercial banking margins. However, banking's regulatory moat (FDIC insurance, capital requirements, compliance burden) provides structural protection, and Truist's deposit franchise and relationship banking model create switching costs that fintechs have struggled to overcome. AI Opportunity (1/1): Truist is proactively deploying AI with 50+ use cases, a dedicated Chief AI &amp; Data Officer from Microsoft, and technology leadership from Capital One [2]. AI-enhanced fraud detection, personalized digital banking, and automated underwriting are reducing costs and improving customer experience across the 10-million-household base. Investment banking and trading income surged 72% YoY in Q2 2026, partially enabled by technology-driven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Truist Financial Q2 2026 Earnings — Net Income $1.55B, EPS $1.23 (+37% YoY), Revenue $5.31B (+5.5%), IB/Trading +72%, Full-Year Guidance 3.5-4% Revenue Growth, $5B Buyback, July 2026</w:t>
      </w:r>
    </w:p>
    <w:p>
      <w:pPr>
        <w:spacing w:before="20" w:after="20"/>
        <w:ind w:left="170"/>
      </w:pPr>
      <w:r>
        <w:rPr>
          <w:rFonts w:ascii="Calibri" w:hAnsi="Calibri"/>
          <w:b/>
          <w:color w:val="4A6B25"/>
          <w:sz w:val="15"/>
        </w:rPr>
        <w:t xml:space="preserve">2. </w:t>
      </w:r>
      <w:r>
        <w:rPr>
          <w:rFonts w:ascii="Calibri" w:hAnsi="Calibri"/>
          <w:b w:val="0"/>
          <w:color w:val="3A4A28"/>
          <w:sz w:val="17"/>
        </w:rPr>
        <w:t>Truist AI Strategy, Glassdoor Reviews, CEO Succession — 50+ AI Use Cases, Pascal Belaud (Microsoft) and Lo Li (Capital One) Hires, Michael Lyons CEO Sept 2026, Glassdoor 3.3/5, Banking Dive,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Truist ESG and Community Investment — $1.25B Social Bond, Affordable Housing, Truist Foundation, $22/hr Minimum Wage, CSRWire/CSRHub, 2021-2026</w:t>
      </w:r>
    </w:p>
    <w:p>
      <w:pPr>
        <w:spacing w:before="20" w:after="20"/>
        <w:ind w:left="170"/>
      </w:pPr>
      <w:r>
        <w:rPr>
          <w:rFonts w:ascii="Calibri" w:hAnsi="Calibri"/>
          <w:b/>
          <w:color w:val="4A6B25"/>
          <w:sz w:val="15"/>
        </w:rPr>
        <w:t xml:space="preserve">4. </w:t>
      </w:r>
      <w:r>
        <w:rPr>
          <w:rFonts w:ascii="Calibri" w:hAnsi="Calibri"/>
          <w:b w:val="0"/>
          <w:color w:val="3A4A28"/>
          <w:sz w:val="17"/>
        </w:rPr>
        <w:t>TFC Financial Metrics — Forward PE 11.15x, ROE 9.41%, D/E 93.16%, Dividend Yield 3.98%, StockAnalysis/Yahoo Finance/Finviz,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