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UCTT</w:t>
      </w:r>
      <w:r>
        <w:rPr>
          <w:rFonts w:ascii="Calibri" w:hAnsi="Calibri"/>
          <w:b/>
          <w:color w:val="1A2010"/>
          <w:sz w:val="40"/>
        </w:rPr>
        <w:t xml:space="preserve">  Ultra Clean Holdings, Inc.</w:t>
      </w:r>
    </w:p>
    <w:p>
      <w:pPr>
        <w:spacing w:after="120"/>
      </w:pPr>
      <w:r>
        <w:rPr>
          <w:rFonts w:ascii="Calibri" w:hAnsi="Calibri"/>
          <w:b/>
          <w:color w:val="6E8450"/>
          <w:sz w:val="18"/>
        </w:rPr>
        <w:t>GROWTH SLEEVE · 2026-08-02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Ultra Clean Holdings develops and supplies critical subsystems, components, parts, and ultra-high purity cleaning and analytical services for the semiconductor industry. The company provides outsourced solutions for gas delivery, chemical delivery, fluid delivery, and wafer cleaning services to major semiconductor equipment OEMs including Applied Materials and Lam Research. Operating globally with capacity to support ~$3 billion in revenue, UCT is advancing its 'UCT 3.0' strategy under CEO James Xiao.</w:t>
      </w:r>
    </w:p>
    <w:p>
      <w:r>
        <w:rPr>
          <w:rFonts w:ascii="Calibri" w:hAnsi="Calibri"/>
          <w:b/>
          <w:color w:val="6E8450"/>
          <w:sz w:val="18"/>
        </w:rPr>
        <w:t>6,948 Employees · https://www.uct.com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UCT has executed meaningful transformation over the past five years, growing from a niche parts cleaning business into a vertically integrated semiconductor subsystems supplier through the 2021 HAM-LET acquisition, which added fluid management capabilities and diversified revenue [1]. Revenue nearly doubled from ~$1.2B in 2020 to $2.05B in 2025, reflecting significant business model expansion. AI Deployment (0/2): UCT's products enable AI chip manufacturing but the company does not ship AI-powered products or report specific AI-driven internal cost savings or revenue gains [1]. Market Share (1/2): UCT is a meaningful participant in semiconductor critical subsystems with strong OEM customer relationships (Applied Materials, Lam Research), but competes against larger players and does not hold dominant market share [1]. Product Pipeline (1/2): CEO James Xiao's 'UCT 3.0' strategy targets advanced packaging and AI-driven memory demand, with Q2 2026 guidance of $565-605M revenue representing sequential growth; however, specific next-gen product launches with firm timelines are vague [1]. R&amp;D Intensity (1/1): R&amp;D investment increased 13% YoY to approximately $32M in 2025, and SBTi-validated environmental targets reflect commitment to innovation in sustainable manufacturing processes beyond industry baseline [1][4].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UCT's purpose centers on enabling semiconductor innovation through critical subsystems and services, which clearly identifies what the company does and for whom, connecting its work to the broader semiconductor ecosystem that powers modern technology [4]. Clear but not distinctively inspirational. Community Impact (0/2): No evidence of significant charitable programs or community investment beyond standard corporate practices. UCT participates in the Responsible Business Alliance Code of Conduct and follows responsible minerals sourcing, which are industry baseline requirements [4]. Employee Retention (1/2): The leadership transition to CEO James Xiao (September 2025, 30+ years semiconductor experience including 19 years at Applied Materials) was orderly, and new CFO Michael Keogh (August 2026) continues institutional succession [1]. Board continuity under Chairman Edman provides stability. No specific retention metrics available. Insider Buying (1/2): Insider transactions show roughly balanced activity with CEO Xiao receiving substantial equity compensation aligning interests with shareholders; no significant net insider buying or selling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hampered by a loss year in TTM results. D/E of 111% is above the 70% target but below the 300% floor, scoring 0.82, reflecting acquisition debt from HAM-LET [2]. ROE of -22.47% scores 0 at 2x weight due to TTM net loss of -$161.6M driven by goodwill impairment and restructuring charges [2]. Forward P/E of 24.59 is above the 20x target, scoring 0.89 [2]. Profit margin of -9.38% scores 0. Revenue growth YoY of -3.24% TTM scores 0.56, though Q1 2026 showed +2.9% YoY improvement [1]. Revenue growth 5yr CAGR of approximately 11% scores 1.0 at 2x weight [1]. Forward PEG of 0.70 is attractive, scoring 1.0 at 2x weight, with 3Y EPS growth forecast of 95.65% [2]. Liquidity floor cleared: 1.48M avg volume x $83.31 = $123.6M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UCT operates with a mixed infinite game orientation. The company has demonstrated meaningful strategic evolution from a cleaning services niche player to a vertically integrated subsystems supplier, and the 'UCT 3.0' vision under CEO Xiao signals long-term ambition aligned with the AI-driven semiconductor cycle. However, the purpose lacks transcendent depth, leadership transitions are frequent, and the company's cyclical business characteristics create a bias toward quarter-to-quarter management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UCT's purpose centers on enabling semiconductor innovation through critical subsystems, a functional description of its role in the value chain rather than a vision of a better future that Sinek would recognize as a Just Cause [4]. The company exists to serve chipmakers efficiently, which is necessary but not inspiring. The 'UCT 3.0' strategy articulates growth ambitions but not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UCT participates in the Responsible Business Alliance Code of Conduct, establishing baseline standards for working conditions across global operations [4]. The orderly CEO succession to Xiao (September 2025) and CFO to Keogh (August 2026) suggest institutional stability rather than chaotic leadership changes. SBTi-validated environmental targets demonstrate values-driven commitments. However, the frequency of leadership changes introduces organizational uncertainty for the ~7,000-person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UCT competes with much larger rivals (Applied Materials, Lam Research, Entegris) without adopting combative language, positioning itself as a complementary partner to OEMs rather than a direct competitor [1]. CEO Xiao's 19-year background at Applied Materials suggests genuine respect for rivals' strengths. UCT's competitive strategy focuses on vertical integration and service quality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UCT has evolved meaningfully from a parts cleaning company to a vertically integrated subsystems supplier, with the HAM-LET acquisition adding fluid management and expanding the addressable market [1]. The ongoing shift toward advanced packaging and AI-driven semiconductor demand under 'UCT 3.0' represents continued strategic adaptation. These are incremental rather than transformative pivots, but they demonstrate consistent strategic evolution in response to industry changes.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HAM-LET acquisition was a meaningful bet that expanded UCT's capabilities at the cost of significant leverage and integration complexity [1]. CEO Xiao's strategic vision for 'UCT 3.0' targets advanced packaging and AI-driven demand. The company is investing in global capacity expansion to $3-4B even during a cyclical downturn, demonstrating willingness to build long-term capability. However, 2025 goodwill impairment suggests some prior capital allocation decisions did not succeed.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 Clean Holdings is positioned to benefit from a powerful semiconductor upcycle driven by AI infrastructure buildout. Q1 2026 revenue of $533.7M rose 2.9% YoY with Q2 guidance of $565-605M representing further acceleration, and CEO Xiao highlighted cloud providers projected to spend approximately $600 billion on AI infrastructure in 2026 as the primary demand driver [1]. The forward PEG of 0.70 is attractive with 3Y EPS growth forecast of 95.65%, reflecting the anticipated recovery from the 2025 loss year [2]. The 'UCT 3.0' strategy under CEO Xiao targets vertical integration and advanced packaging exposure, with global manufacturing capacity capable of supporting $3-4B in revenue with modest incremental investment [1]. At $83.31 per share, UCT offers leveraged upside to the AI capex cycle with a vertically integrated model spanning subsystems manufacturing, precision cleaning, and fluid delivery. SBTi-validated environmental targets and ALIGNED faith score (39) add ESG appeal.</w:t>
      </w:r>
    </w:p>
    <w:p>
      <w:pPr>
        <w:spacing w:after="120"/>
      </w:pPr>
      <w:r>
        <w:rPr>
          <w:rFonts w:ascii="Calibri" w:hAnsi="Calibri"/>
          <w:b w:val="0"/>
          <w:color w:val="3A4A28"/>
          <w:sz w:val="20"/>
        </w:rPr>
        <w:t>The bear case centers on cyclicality and recent financial weakness. UCT's TTM net loss of $161.6M on revenue of $2.07B (down 3.24% YoY) reflects goodwill impairment and restructuring charges from the HAM-LET acquisition that have not yet fully recovered [2]. D/E of 111% represents significant leverage, and negative ROE of -22.47% demonstrates the business has not proven it can consistently generate economic value above its cost of capital across semiconductor cycles. The CEO transition to James Xiao, followed by a new CFO (Michael Keogh, August 2026), introduces execution risk on the 'UCT 3.0' strategy at a critical inflection point [1]. The stock has surged approximately 230% in 2026 from ~$25 to $83, pricing in significant recovery that must materialize. UCT's revenue is heavily tied to WFE spending by a concentrated customer base of major OEMs, making it vulnerable to sudden capex cuts if AI demand forecasts prove overly optimistic or if geopolitical tensions disrupt supply chains [1]. Forward P/E of 24.59 is above the 20x target, reflecting premium valuation on currently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buildout driving semiconductor equipment demand, with cloud providers projected to spend ~$600B in 2026 and UCT's components critical to chip manufacturing processes [1]</w:t>
      </w:r>
    </w:p>
    <w:p>
      <w:pPr>
        <w:spacing w:before="40" w:after="40"/>
        <w:ind w:left="283"/>
      </w:pPr>
      <w:r>
        <w:rPr>
          <w:rFonts w:ascii="Calibri" w:hAnsi="Calibri"/>
          <w:b/>
          <w:color w:val="4A6B25"/>
          <w:sz w:val="20"/>
        </w:rPr>
        <w:t xml:space="preserve">2. </w:t>
      </w:r>
      <w:r>
        <w:rPr>
          <w:rFonts w:ascii="Calibri" w:hAnsi="Calibri"/>
          <w:b w:val="0"/>
          <w:color w:val="3A4A28"/>
          <w:sz w:val="20"/>
        </w:rPr>
        <w:t>Revenue acceleration from Q1 2026 ($533.7M, +2.9% YoY) to Q2 guidance of $565-605M, with global capacity to support $3-4B in revenue providing significant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Forward PEG of 0.70 with 3Y EPS growth forecast of 95.65% as one-time impairment charges roll off and operating leverage returns to the business under CEO Xiao's UCT 3.0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capex cyclicality — UCT's revenue dropped from $2.37B in 2022 to $1.73B in 2023 (-27%) during the last downcycle, demonstrating extreme sensitivity to WFE spending cuts if AI demand disappoints [1]</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risk with new CEO Xiao (September 2025) and new CFO Keogh (August 2026) executing strategic transformation during a critical industry inflection point [1]</w:t>
      </w:r>
    </w:p>
    <w:p>
      <w:pPr>
        <w:spacing w:before="40" w:after="40"/>
        <w:ind w:left="283"/>
      </w:pPr>
      <w:r>
        <w:rPr>
          <w:rFonts w:ascii="Calibri" w:hAnsi="Calibri"/>
          <w:b/>
          <w:color w:val="4A6B25"/>
          <w:sz w:val="20"/>
        </w:rPr>
        <w:t xml:space="preserve">3. </w:t>
      </w:r>
      <w:r>
        <w:rPr>
          <w:rFonts w:ascii="Calibri" w:hAnsi="Calibri"/>
          <w:b w:val="0"/>
          <w:color w:val="3A4A28"/>
          <w:sz w:val="20"/>
        </w:rPr>
        <w:t>Acquisition leverage and impairment — D/E of 111% and 2025 goodwill impairment on HAM-LET raise questions about capital allocation discipline and ability to service debt if the recovery stalls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UCT's core business of manufacturing physical semiconductor subsystems, gas delivery systems, chemical delivery, and precision parts cleaning is structurally immune to AI substitution [1]. These are physical-world operations requiring cleanroom manufacturing, precision engineering, and direct integration with semiconductor fab equipment. AI actually increases demand for UCT's products: generative AI infrastructure requires advanced semiconductors, driving higher wafer fab equipment (WFE) spending. Cloud providers projected to spend approximately $600 billion on AI infrastructure in 2026, directly driving demand for UCT's components and cleaning services [1]. CEO Xiao highlighted 'growing momentum in the semiconductor sector driven by substantial investments in AI infrastructure' as the primary growth driver. AI Opportunity (1/1): UCT generates meaningful AI-related revenue as a direct beneficiary of AI-driven semiconductor capital expenditure. The company's subsystems and cleaning services support AI chip manufacturing at major foundries and logic fabs, with AI and memory-driven demand identified as the central pillar of the 'UCT 3.0'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 Clean Holdings Q1 2026 Earnings — $533.7M revenue (+2.9% YoY), Q2 guidance $565-605M, CEO Xiao on $600B AI infrastructure spend, UCT 3.0 strategy, $3-4B capacity; GuruFocus,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UCTT Financial Statistics: Forward P/E 24.59, PEG 0.70, D/E 111%, ROE -22.47%, 3Y EPS growth forecast 95.65%;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UCTT: market cap, revenue TTM $2.07B, net loss $161.6M, avg volume 1.48M;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UCT Corporate — ESG page: SBTi-validated GHG targets, Environmental Policy, RBA Code of Conduct; uct.com/about-uct/esg</w:t>
      </w:r>
    </w:p>
    <w:p>
      <w:pPr>
        <w:spacing w:before="20" w:after="20"/>
        <w:ind w:left="170"/>
      </w:pPr>
      <w:r>
        <w:rPr>
          <w:rFonts w:ascii="Calibri" w:hAnsi="Calibri"/>
          <w:b/>
          <w:color w:val="4A6B25"/>
          <w:sz w:val="15"/>
        </w:rPr>
        <w:t xml:space="preserve">5. </w:t>
      </w:r>
      <w:r>
        <w:rPr>
          <w:rFonts w:ascii="Calibri" w:hAnsi="Calibri"/>
          <w:b w:val="0"/>
          <w:color w:val="3A4A28"/>
          <w:sz w:val="17"/>
        </w:rPr>
        <w:t>TIKR.com — 'Ultra Clean Holdings Stock Has Surged 230% in 2026'; leadership changes, AI-cycle positioning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