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UE</w:t>
      </w:r>
      <w:r>
        <w:rPr>
          <w:rFonts w:ascii="Calibri" w:hAnsi="Calibri"/>
          <w:b/>
          <w:color w:val="1A2010"/>
          <w:sz w:val="40"/>
        </w:rPr>
        <w:t xml:space="preserve">  Urban Edge Properties</w:t>
      </w:r>
    </w:p>
    <w:p>
      <w:pPr>
        <w:spacing w:after="120"/>
      </w:pPr>
      <w:r>
        <w:rPr>
          <w:rFonts w:ascii="Calibri" w:hAnsi="Calibri"/>
          <w:b/>
          <w:color w:val="6E8450"/>
          <w:sz w:val="18"/>
        </w:rPr>
        <w:t>DIVIDEND SLEEVE · 2026-08-10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Retail REITs · NYSE · United States</w:t>
      </w:r>
    </w:p>
    <w:p>
      <w:pPr>
        <w:spacing w:after="80"/>
      </w:pPr>
      <w:r>
        <w:rPr>
          <w:rFonts w:ascii="Calibri" w:hAnsi="Calibri"/>
          <w:b w:val="0"/>
          <w:color w:val="3A4A28"/>
          <w:sz w:val="20"/>
        </w:rPr>
        <w:t>Urban Edge Properties is a real estate investment trust focused on owning, managing, acquiring, developing, and redeveloping retail real estate in urban communities along the Washington D.C. to Boston corridor. Spun off from Vornado Realty Trust in January 2015 and headquartered in New York City, the company's portfolio consists of approximately 75 properties totaling over 17 million square feet, anchored by necessity-based retailers in high-density, supply-constrained markets.</w:t>
      </w:r>
    </w:p>
    <w:p>
      <w:r>
        <w:rPr>
          <w:rFonts w:ascii="Calibri" w:hAnsi="Calibri"/>
          <w:b/>
          <w:color w:val="6E8450"/>
          <w:sz w:val="18"/>
        </w:rPr>
        <w:t>150 Employees · https://uedge.com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Urban Edge has executed value-add redevelopment projects across its DC-to-Boston corridor retail portfolio and navigated the COVID-era retail disruption through disciplined capital allocation and tenant diversification. However, the core business model — owning and leasing retail real estate — has not changed in any meaningful way since the 2015 spinoff from Vornado [1][2]. AI Deployment (1/2): Urban Edge received the MRI AI Visionary Award for innovative use of MRI property management technology to drive business transformation, and won a Digie Award in 2022 for applying 'an extraordinary level of automation, technology, and innovation in their business processes' [4]. These awards suggest above-average proptech adoption for a small REIT, though no specific cost savings or revenue impact has been quantified. Market Share (0/2): Small retail REIT with approximately $2.9B market cap in a highly fragmented real estate market. Not a category leader compared to Simon Property Group, Regency Centers, or Federal Realty. Product Pipeline (0/2): Redevelopment pipeline exists on existing properties but no transformative next-generation products or specific project launches with defined timelines and revenue visibility. R&amp;D Intensity (0/1): REITs do not invest in traditional R&amp;D; capital is deployed through acquisitions and property redevelopment.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Urban Edge's purpose centers on creating vibrant retail destinations in urban communities, connecting neighborhood needs with accessible retail. The mission is functional — it describes what the company does (develop/manage retail properties in urban areas) without articulating a deeper vision of the future or a cause that inspires sacrifice beyond the business itself. Community Impact (1/2): The company achieved a 45% improvement in its GRESB sustainability score in a single year, earned Green Lease Leader designation from the Department of Energy's Better Buildings Alliance, and set GHG emissions reduction targets of 30% by 2025 and 50% by 2030 [5]. Focus on urban communities provides inherent community benefit through retail access and employment. Employee Retention (1/2): Received Gold Level Healthy Workforce Designation from Cigna in 2023 for wellness program quality including leadership, culture, DE&amp;I, and ongoing education [4]. As a small organization (~150 employees), the company can cultivate closer working relationships, but no specific retention or tenure data is available. Insider Buying (0/2): CEO Jeffrey Olson signed a new employment agreement through 2027, signaling commitment, but no evidence of meaningful open-market insider purchases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record FFO as adjusted of $0.40 per share, up 10% YoY, and management raised full-year 2026 FFO guidance to $1.50-$1.54 per share [1][3]. Net income guidance was also raised to $0.56-$0.60 per diluted share. Profit margin of 20.66% exceeds the 20% target. The dividend of $0.84 annually at 55% FFO-based payout ratio is well-covered [6]. Consecutive years paid of 11 (since 2015 spinoff) earns full marks on the 2× weighted duration metric. Weaknesses include D/E of 124.9% (common for leveraged REITs but above the 70% target), ROE of 7.28% below the 15% threshold, and the forward P/E of 45.8x (on GAAP earnings depressed by non-cash depreciation — Price/FFO of ~15x is more appropriate for REIT valuation)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Urban Edge Properties is a young company (spun off in 2015) that has not yet faced the tests Sinek uses to evaluate infinite game thinking. CEO Olson is an experienced REIT operator executing a sound value-creation strategy, but the company's language centers on FFO growth, portfolio optimization, and shareholder returns — finite metrics. There is no evidence of a Just Cause beyond creating real estate value, no transformative flexibility (the business model is the same as at spinoff), and no competitive framing that suggests learning from rivals. Sinek would see a well-run financial enterprise without infinite game DNA.</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Urban Edge exists to create value through retail real estate ownership and development in urban communities. While providing retail access to urban neighborhoods has social value, the company's purpose is fundamentally financial — 'maximize shareholder value through disciplined capital allocation.' This is the definition of a finite objective. The company's investor communications center entirely on FFO growth, occupancy rates, and total returns. There is no articulated vision of a better future that transcends the business itself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Urban Edge received the Gold Level Healthy Workforce Designation from Cigna, which requires demonstrated commitment to employee health, culture, and engagement [4]. DE&amp;I programs, wellness initiatives, and ongoing education suggest a thoughtful approach to workforce development for a small organization. CEO Olson's decade-long tenure since the 2015 spinoff provides leadership stability. However, with approximately 150 employees, the team is small enough that individual experience can vary significantly, and no specific employee satisfaction or retention data validates the cultural claims.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Urban Edge frames competitors (Federal Realty, Regency Centers, Kimco Realty) as worthy rivals in Sinek's sense. Competitive language focuses on portfolio positioning, NOI growth, and acquisition opportunities rather than learning from competitors' strengths. CEO Olson's background includes tenures at Equity One and Kimco, which provides competitive knowledge, but the company's framing is about execution, not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Urban Edge has operated the same business model since its 2015 spinoff from Vornado — acquiring, developing, and leasing retail real estate in urban corridors. The company has evolved its portfolio mix through acquisitions and dispositions but has not fundamentally reinvented itself. At 11 years old, Urban Edge is too young and too focused on its current strategy to have faced the existential test Sinek describes. There is no evidence of willingness to abandon the retail REIT model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Urban Edge executed aggressive acquisition and redevelopment strategies during periods of market uncertainty, deploying capital into value-add opportunities when other REITs were more conservative. Successfully navigating COVID-era rent collection challenges while maintaining the portfolio required discipline. The decision to pursue active redevelopment rather than simply collecting rent shows some willingness to invest for long-term value. However, these are standard REIT capital allocation decisions rather than courageous sacrifices of short-term earnings for long-term capability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Urban Edge Properties achieved record FFO as adjusted of $0.40 per share in Q2 2026, up 10% YoY, and raised full-year guidance to $1.50-$1.54 per share [1][3]. The portfolio's focus on necessity-based retail in the supply-constrained DC-to-Boston corridor provides structural protection against e-commerce displacement and limits new competitive supply. At approximately 15x Price/FFO, the valuation is reasonable for a retail REIT delivering double-digit FFO growth with a 3.65% dividend yield at a 55% FFO payout ratio [6]. The raised net income guidance ($0.56-$0.60 vs. prior $0.49-$0.54) reflects improving operating fundamentals. Green Lease Leader designation and strong GRESB scores position the company well with ESG-focused institutional investors.</w:t>
      </w:r>
    </w:p>
    <w:p>
      <w:pPr>
        <w:spacing w:after="120"/>
      </w:pPr>
      <w:r>
        <w:rPr>
          <w:rFonts w:ascii="Calibri" w:hAnsi="Calibri"/>
          <w:b w:val="0"/>
          <w:color w:val="3A4A28"/>
          <w:sz w:val="20"/>
        </w:rPr>
        <w:t>The primary risk is the structural challenge facing retail real estate — even necessity-based retail faces long-term headwinds from e-commerce penetration, delivery models, and changing consumer behavior. Urban Edge's D/E of 124.9% creates interest rate sensitivity, and the high GAAP-based payout ratio (above 100% on net income) underscores the REIT's dependence on depreciation add-backs to support the dividend [6]. Modeled revenue growth has been revised downward to roughly -6.6% on a declining trajectory, which conflicts with the FFO growth story and suggests portfolio churn or property-level headwinds [1]. The company's small size (~150 employees, $2.9B market cap) limits diversification and creates concentration risk in a single geographic corridor. Aggressive acquisition and redevelopment strategies could lead to operational inefficiencies if market conditions deteriorate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FFO growth of 10% YoY in Q2 2026 with raised full-year guidance to $1.50-$1.54 per share, demonstrating accelerating property-level fundamentals in the DC-to-Boston retail corridor</w:t>
      </w:r>
    </w:p>
    <w:p>
      <w:pPr>
        <w:spacing w:before="40" w:after="40"/>
        <w:ind w:left="283"/>
      </w:pPr>
      <w:r>
        <w:rPr>
          <w:rFonts w:ascii="Calibri" w:hAnsi="Calibri"/>
          <w:b/>
          <w:color w:val="4A6B25"/>
          <w:sz w:val="20"/>
        </w:rPr>
        <w:t xml:space="preserve">2. </w:t>
      </w:r>
      <w:r>
        <w:rPr>
          <w:rFonts w:ascii="Calibri" w:hAnsi="Calibri"/>
          <w:b w:val="0"/>
          <w:color w:val="3A4A28"/>
          <w:sz w:val="20"/>
        </w:rPr>
        <w:t>Value-add redevelopment pipeline converting underperforming retail properties into higher-yielding assets, driving organic NOI growth without acquisitions</w:t>
      </w:r>
    </w:p>
    <w:p>
      <w:pPr>
        <w:spacing w:before="40" w:after="40"/>
        <w:ind w:left="283"/>
      </w:pPr>
      <w:r>
        <w:rPr>
          <w:rFonts w:ascii="Calibri" w:hAnsi="Calibri"/>
          <w:b/>
          <w:color w:val="4A6B25"/>
          <w:sz w:val="20"/>
        </w:rPr>
        <w:t xml:space="preserve">3. </w:t>
      </w:r>
      <w:r>
        <w:rPr>
          <w:rFonts w:ascii="Calibri" w:hAnsi="Calibri"/>
          <w:b w:val="0"/>
          <w:color w:val="3A4A28"/>
          <w:sz w:val="20"/>
        </w:rPr>
        <w:t>Limited new retail supply in high-density urban corridors creating favorable landlord pricing dynamics as existing tenants compete for 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124.9% creates significant interest rate sensitivity — if rates remain elevated, refinancing costs could compress FFO and threaten dividend coverage at the current 55% FFO payout ratio</w:t>
      </w:r>
    </w:p>
    <w:p>
      <w:pPr>
        <w:spacing w:before="40" w:after="40"/>
        <w:ind w:left="283"/>
      </w:pPr>
      <w:r>
        <w:rPr>
          <w:rFonts w:ascii="Calibri" w:hAnsi="Calibri"/>
          <w:b/>
          <w:color w:val="4A6B25"/>
          <w:sz w:val="20"/>
        </w:rPr>
        <w:t xml:space="preserve">2. </w:t>
      </w:r>
      <w:r>
        <w:rPr>
          <w:rFonts w:ascii="Calibri" w:hAnsi="Calibri"/>
          <w:b w:val="0"/>
          <w:color w:val="3A4A28"/>
          <w:sz w:val="20"/>
        </w:rPr>
        <w:t>Modeled revenue growth revised downward to approximately -6.6%, suggesting portfolio churn or property-level tenant erosion that may not be fully reflected in headline FFO numbers</w:t>
      </w:r>
    </w:p>
    <w:p>
      <w:pPr>
        <w:spacing w:before="40" w:after="40"/>
        <w:ind w:left="283"/>
      </w:pPr>
      <w:r>
        <w:rPr>
          <w:rFonts w:ascii="Calibri" w:hAnsi="Calibri"/>
          <w:b/>
          <w:color w:val="4A6B25"/>
          <w:sz w:val="20"/>
        </w:rPr>
        <w:t xml:space="preserve">3. </w:t>
      </w:r>
      <w:r>
        <w:rPr>
          <w:rFonts w:ascii="Calibri" w:hAnsi="Calibri"/>
          <w:b w:val="0"/>
          <w:color w:val="3A4A28"/>
          <w:sz w:val="20"/>
        </w:rPr>
        <w:t>Concentration in a single geographic corridor (DC to Boston) and a single property type (retail) creates exposure to regional economic downturns and secular shift from physical retail to e-commerce delivery models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Urban Edge owns physical retail real estate in high-density urban corridors (DC to Boston) that AI structurally cannot substitute — buildings, land, and locations are irreplaceable physical assets [1]. The portfolio is anchored by necessity-based retailers (grocery, pharmacy, essential services) in supply-constrained markets where e-commerce substitution risk is lowest. AI cannot replicate the convenience of a neighborhood grocery-anchored shopping center. However, indirect risk exists through AI's acceleration of e-commerce penetration, which could pressure certain retail tenant categories (apparel, general merchandise) and reduce demand for physical retail space over time. The company's urban, infill locations with limited new supply provide structural protection against this risk. AI Opportunity (0/1): Urban Edge does not generate revenue from AI products or services. The MRI AI Visionary Award reflects internal technology adoption for property management but does not constitute AI-derived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Urban Edge Properties Q2 2026 Earnings Release and Conference Call Highlights — stocktitan.net, August 2026</w:t>
      </w:r>
    </w:p>
    <w:p>
      <w:pPr>
        <w:spacing w:before="20" w:after="20"/>
        <w:ind w:left="170"/>
      </w:pPr>
      <w:r>
        <w:rPr>
          <w:rFonts w:ascii="Calibri" w:hAnsi="Calibri"/>
          <w:b/>
          <w:color w:val="4A6B25"/>
          <w:sz w:val="15"/>
        </w:rPr>
        <w:t xml:space="preserve">2. </w:t>
      </w:r>
      <w:r>
        <w:rPr>
          <w:rFonts w:ascii="Calibri" w:hAnsi="Calibri"/>
          <w:b w:val="0"/>
          <w:color w:val="3A4A28"/>
          <w:sz w:val="17"/>
        </w:rPr>
        <w:t>Urban Edge Properties Q1 2026 Earnings Release — Investing.com, April 2026</w:t>
      </w:r>
    </w:p>
    <w:p>
      <w:pPr>
        <w:spacing w:before="20" w:after="20"/>
        <w:ind w:left="170"/>
      </w:pPr>
      <w:r>
        <w:rPr>
          <w:rFonts w:ascii="Calibri" w:hAnsi="Calibri"/>
          <w:b/>
          <w:color w:val="4A6B25"/>
          <w:sz w:val="15"/>
        </w:rPr>
        <w:t xml:space="preserve">3. </w:t>
      </w:r>
      <w:r>
        <w:rPr>
          <w:rFonts w:ascii="Calibri" w:hAnsi="Calibri"/>
          <w:b w:val="0"/>
          <w:color w:val="3A4A28"/>
          <w:sz w:val="17"/>
        </w:rPr>
        <w:t>Urban Edge Properties 2026 FFO Guidance Raise and Full-Year Outlook — stocktitan.net, August 2026</w:t>
      </w:r>
    </w:p>
    <w:p>
      <w:pPr>
        <w:spacing w:before="20" w:after="20"/>
        <w:ind w:left="170"/>
      </w:pPr>
      <w:r>
        <w:rPr>
          <w:rFonts w:ascii="Calibri" w:hAnsi="Calibri"/>
          <w:b/>
          <w:color w:val="4A6B25"/>
          <w:sz w:val="15"/>
        </w:rPr>
        <w:t xml:space="preserve">4. </w:t>
      </w:r>
      <w:r>
        <w:rPr>
          <w:rFonts w:ascii="Calibri" w:hAnsi="Calibri"/>
          <w:b w:val="0"/>
          <w:color w:val="3A4A28"/>
          <w:sz w:val="17"/>
        </w:rPr>
        <w:t>Urban Edge Properties Company Profile, Leadership, and Culture Awards — uedge.com, Comparably, 2022-2026</w:t>
      </w:r>
    </w:p>
    <w:p>
      <w:pPr>
        <w:spacing w:before="20" w:after="20"/>
        <w:ind w:left="170"/>
      </w:pPr>
      <w:r>
        <w:rPr>
          <w:rFonts w:ascii="Calibri" w:hAnsi="Calibri"/>
          <w:b/>
          <w:color w:val="4A6B25"/>
          <w:sz w:val="15"/>
        </w:rPr>
        <w:t xml:space="preserve">5. </w:t>
      </w:r>
      <w:r>
        <w:rPr>
          <w:rFonts w:ascii="Calibri" w:hAnsi="Calibri"/>
          <w:b w:val="0"/>
          <w:color w:val="3A4A28"/>
          <w:sz w:val="17"/>
        </w:rPr>
        <w:t>Urban Edge Properties 2022 ESG Report — uedge.com, GRESB and Green Lease Leader Recognition</w:t>
      </w:r>
    </w:p>
    <w:p>
      <w:pPr>
        <w:spacing w:before="20" w:after="20"/>
        <w:ind w:left="170"/>
      </w:pPr>
      <w:r>
        <w:rPr>
          <w:rFonts w:ascii="Calibri" w:hAnsi="Calibri"/>
          <w:b/>
          <w:color w:val="4A6B25"/>
          <w:sz w:val="15"/>
        </w:rPr>
        <w:t xml:space="preserve">6. </w:t>
      </w:r>
      <w:r>
        <w:rPr>
          <w:rFonts w:ascii="Calibri" w:hAnsi="Calibri"/>
          <w:b w:val="0"/>
          <w:color w:val="3A4A28"/>
          <w:sz w:val="17"/>
        </w:rPr>
        <w:t>StockAnalysis.com / GuruFocus / Yahoo Finance — UE Key Statistics, Valuation, and Dividend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