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UMC</w:t>
      </w:r>
      <w:r>
        <w:rPr>
          <w:rFonts w:ascii="Calibri" w:hAnsi="Calibri"/>
          <w:b/>
          <w:color w:val="1A2010"/>
          <w:sz w:val="40"/>
        </w:rPr>
        <w:t xml:space="preserve">  United Microelectronics Corporation</w:t>
      </w:r>
    </w:p>
    <w:p>
      <w:pPr>
        <w:spacing w:after="120"/>
      </w:pPr>
      <w:r>
        <w:rPr>
          <w:rFonts w:ascii="Calibri" w:hAnsi="Calibri"/>
          <w:b/>
          <w:color w:val="6E8450"/>
          <w:sz w:val="18"/>
        </w:rPr>
        <w:t>DIVIDEND SLEEVE · 2026-08-18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NYSE · Taiwan</w:t>
      </w:r>
    </w:p>
    <w:p>
      <w:pPr>
        <w:spacing w:after="80"/>
      </w:pPr>
      <w:r>
        <w:rPr>
          <w:rFonts w:ascii="Calibri" w:hAnsi="Calibri"/>
          <w:b w:val="0"/>
          <w:color w:val="3A4A28"/>
          <w:sz w:val="20"/>
        </w:rPr>
        <w:t>United Microelectronics Corporation is the world's third-largest dedicated semiconductor foundry, specializing in mature-node chip manufacturing at 22nm and above. UMC operates 12 fabs across Taiwan, Singapore, China, and Japan, serving customers in communications, consumer electronics, computing, and automotive segments. Under new CEO Jason Wang (appointed February 2026), UMC is expanding into silicon photonics for AI data center interconnects and pushing 22/28nm revenue to record highs. Q2 2026 revenue reached NT$68.73B (+17% YoY) with the 22nm node representing 17.5% of quarterly sales. Market cap is approximately $47B.</w:t>
      </w:r>
    </w:p>
    <w:p>
      <w:r>
        <w:rPr>
          <w:rFonts w:ascii="Calibri" w:hAnsi="Calibri"/>
          <w:b/>
          <w:color w:val="6E8450"/>
          <w:sz w:val="18"/>
        </w:rPr>
        <w:t>20,000 Employees · https://www.umc.com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UMC has incrementally expanded its technology portfolio over the last five years, growing 22/28nm revenue to record levels (17.5% of Q2 2026 sales) and entering specialty technology segments including embedded non-volatile memory, RFSOI, and BCD power management [1]. These are meaningful but incremental extensions of the existing foundry business rather than transformative pivots. AI Deployment (1/2): UMC has begun production of silicon photonics components at its Singapore fab for AI data center optical interconnects, addressing a critical bandwidth bottleneck in hyperscale AI infrastructure [2]. The 18-month development cycle demonstrates agile execution, though this remains early-stage with limited revenue contribution. Market Share (1/2): UMC holds approximately 6-7% global foundry market share, firmly positioned as the third-largest pure-play foundry behind TSMC (~60%) and GlobalFoundries. UMC is a meaningful player with stable share in mature nodes but is not a category leader or fastest share gainer [1]. Product Pipeline (1/2): UMC has announced expansion of advanced packaging offerings and silicon photonics production with general timelines, but lacks the specificity of named next-gen platforms with launch dates and revenue visibility that characterize top-scoring companies. R&amp;D Intensity (0/1): UMC's R&amp;D spending as a percentage of revenue (~7-8%) is below the semiconductor industry leaders like TSMC (~8-9%) and significantly below fabless peers, reflecting its focus on mature rather than leading-edge process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UMC's purpose centers on being a trusted semiconductor manufacturing partner, enabling customers' product innovation through reliable, cost-effective foundry services. The mission is functional and clear but generic — interchangeable with any contract manufacturer in the industry, lacking a distinctive articulation of why UMC exists beyond commercial activity. Community Impact (1/2): UMC demonstrates genuine environmental commitment — it is the only semiconductor company globally to achieve CDP double-A ratings in both Climate Change and Water Security for three consecutive years, recognized by the Dow Jones Sustainability Indices, and has pledged net-zero emissions by 2050 with energy conservation programs running since 1999 [3]. The ESG Sustainable Development and Nomination Committee, composed entirely of independent directors, provides board-level oversight. Employee Retention (0/2): Glassdoor ratings of 2.9/5 from 435 reviews reveal a challenging work environment, with only 36% of employees recommending UMC to a friend. Employees cite inefficient management, aggressive bosses, and severe work-life balance issues (rated 2.0/5) [2]. Culture and values scored 2.3/5, well below industry averages. Insider Buying (0/2): No evidence of meaningful net insider buying by executives was identified in the research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UMC demonstrates excellent financial health with a minimal D/E ratio of 14.29% (well below the 70% target), ROE of 21.33% (above the 15% target), and a strong profit margin of 33.29% (above the 20% target) [4]. Revenue growth of ~15% YoY in H1 2026 exceeds the 10% target, driven by 22/28nm demand and capacity utilization recovery [1]. Forward P/E of 17.18 is attractively below the 20x target, and PEG of 0.97 signals reasonable growth-adjusted valuation. The primary drags are a modest estimated 5-year revenue CAGR of ~4% reflecting the cyclical semiconductor downturn in 2023, inconsistent dividend growth (consecutive years of growth estimated at 2 due to variable annual payout), and a payout ratio of ~43% slightly above the 40% target. Liquidity is ample at ~$199M daily dollar volume (20.9M shares x ~$9.50).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UMC operates with a predominantly finite mindset, optimizing for competitive positioning and quarterly performance rather than pursuing a transformative Just Cause. The February 2026 leadership restructuring — replacing the co-president model with Jason Wang as sole CEO — demonstrates pragmatic adaptation but was driven by efficiency and execution concerns rather than a purpose-driven vision [2]. Glassdoor reviews (2.9/5 overall, 2.0/5 work-life balance) paint a picture of a pressure-driven culture where employees feel overloaded rather than inspired. The company competes as a cost-effective alternative to TSMC rather than articulating a distinctive vision for the future of semiconductor manufacturing.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UMC exists to manufacture semiconductors profitably and compete for market share against TSMC and GlobalFoundries. There is no articulated vision of a better future beyond commercial success. The company's messaging centers on operational metrics — capacity utilization, technology node advancement, and cost competitiveness — rather than a purpose that transcends the product. While the sustainability commitment (net zero by 2050) adds a dimension of purpose, it functions as a corporate responsibility program rather than a Just Cause that shapes strategic decisions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Evidence points to a low-trust work environment. Glassdoor ratings of 2.9/5 overall with culture and values at 2.3/5 and work-life balance at only 2.0/5 suggest employees operate under significant pressure [2]. Reviews describe inefficient management, aggressive bosses, and an overwhelming working environment. Only 36% of employees would recommend UMC to a friend, well below the industry norm. The February 2026 leadership restructuring, while potentially positive long-term, represents organizational disruption that adds uncertainty for employees navigating a new management structure.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UMC's competitive language is oriented around competing with TSMC on price and capacity, rather than using TSMC's strengths as motivation for self-improvement. The company positions itself primarily as a lower-cost alternative rather than articulating how competition with TSMC and GlobalFoundries drives UMC to improve its own capabilities. Management commentary focuses on market share metrics and competitive positioning rather than learning from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UMC has demonstrated meaningful strategic evolution — the company abandoned the race to leading-edge nodes (7nm and below) in 2018, choosing to focus on mature nodes where it could be profitable rather than chasing TSMC in a capital-intensive arms race it could not win [1]. More recently, the silicon photonics initiative represents entry into an adjacent market driven by AI demand. These adaptations show pragmatic flexibility but were driven by competitive necessity rather than a purpose-driven vision, and the company has not fundamentally reinvented itself.</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UMC's 2018 decision to exit the leading-edge node race was a courageous strategic choice — walking away from the prestige and revenue potential of advanced node competition to focus on profitable mature-node manufacturing required accepting a smaller addressable market in exchange for sustainable profitability [1]. The February 2026 leadership restructuring, eliminating the co-president model for a single CEO, demonstrates willingness to make organizational changes for long-term effectiveness. However, these are isolated examples rather than a consistent pattern of courageous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UMC at 17.18x forward earnings offers an attractively valued entry into the semiconductor foundry space, with strong fundamentals — D/E of just 14.29%, ROE of 21.33%, and profit margin of 33.29% — that compare favorably to most industrial companies [4]. Q2 2026 revenue of NT$68.73B (+17% YoY) demonstrates accelerating growth driven by 22/28nm demand reaching record highs (17.5% of sales), while the silicon photonics initiative positions UMC to capture emerging AI data center interconnect demand [1][2]. The PEG ratio of 0.97 suggests the market is underpricing the growth trajectory, and a ~3.4% dividend yield provides income while waiting for the cyclical upturn to fully materialize.</w:t>
      </w:r>
    </w:p>
    <w:p>
      <w:pPr>
        <w:spacing w:after="120"/>
      </w:pPr>
      <w:r>
        <w:rPr>
          <w:rFonts w:ascii="Calibri" w:hAnsi="Calibri"/>
          <w:b w:val="0"/>
          <w:color w:val="3A4A28"/>
          <w:sz w:val="20"/>
        </w:rPr>
        <w:t>The bear case centers on UMC's structural positioning as a distant third behind TSMC (~60% share) in a foundry industry where scale advantages compound — TSMC's R&amp;D and capex budget dwarfs UMC's, making technological catch-up increasingly difficult. The Glassdoor rating of 2.9/5 and only 36% employee recommendation rate signal cultural challenges that could impair talent retention and innovation capacity [2]. The February 2026 CEO transition introduces execution risk during a critical period of AI-driven demand shifts. UMC's mature-node focus, while profitable, means it captures a smaller share of the AI semiconductor spending boom that disproportionately benefits leading-edge fabs. Revenue growth has been cyclically volatile (5-year CAGR of only ~4%), and the variable annual dividend — which decreased from $0.483 in 2025 to $0.32 in 2026 — provides less income predictability than traditional dividend compounders.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Silicon photonics production ramp at Singapore fab for AI data center optical interconnects, addressing a critical bandwidth bottleneck in hyperscale infrastructure with an 18-month development cycle that positions UMC ahead of most foundry peers in this emerging segment [2]</w:t>
      </w:r>
    </w:p>
    <w:p>
      <w:pPr>
        <w:spacing w:before="40" w:after="40"/>
        <w:ind w:left="283"/>
      </w:pPr>
      <w:r>
        <w:rPr>
          <w:rFonts w:ascii="Calibri" w:hAnsi="Calibri"/>
          <w:b/>
          <w:color w:val="4A6B25"/>
          <w:sz w:val="20"/>
        </w:rPr>
        <w:t xml:space="preserve">2. </w:t>
      </w:r>
      <w:r>
        <w:rPr>
          <w:rFonts w:ascii="Calibri" w:hAnsi="Calibri"/>
          <w:b w:val="0"/>
          <w:color w:val="3A4A28"/>
          <w:sz w:val="20"/>
        </w:rPr>
        <w:t>22/28nm revenue reaching record highs at 17.5% of Q2 2026 sales, with continued demand growth from automotive, IoT, and power management applications that benefit from the broader electrification and AI infrastructure build-out [1]</w:t>
      </w:r>
    </w:p>
    <w:p>
      <w:pPr>
        <w:spacing w:before="40" w:after="40"/>
        <w:ind w:left="283"/>
      </w:pPr>
      <w:r>
        <w:rPr>
          <w:rFonts w:ascii="Calibri" w:hAnsi="Calibri"/>
          <w:b/>
          <w:color w:val="4A6B25"/>
          <w:sz w:val="20"/>
        </w:rPr>
        <w:t xml:space="preserve">3. </w:t>
      </w:r>
      <w:r>
        <w:rPr>
          <w:rFonts w:ascii="Calibri" w:hAnsi="Calibri"/>
          <w:b w:val="0"/>
          <w:color w:val="3A4A28"/>
          <w:sz w:val="20"/>
        </w:rPr>
        <w:t>New CEO Jason Wang's streamlined leadership structure (eliminating co-president model) could accelerate decision-making and strategic execution, with the company forecasting 12.3% annual revenue growth and 18.6% EPS growth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TSMC's overwhelming scale advantage (~60% foundry market share vs. UMC's ~7%) creates a structural competitive disadvantage in R&amp;D investment, customer relationships, and pricing power that is widening as AI drives more leading-edge demand [1]</w:t>
      </w:r>
    </w:p>
    <w:p>
      <w:pPr>
        <w:spacing w:before="40" w:after="40"/>
        <w:ind w:left="283"/>
      </w:pPr>
      <w:r>
        <w:rPr>
          <w:rFonts w:ascii="Calibri" w:hAnsi="Calibri"/>
          <w:b/>
          <w:color w:val="4A6B25"/>
          <w:sz w:val="20"/>
        </w:rPr>
        <w:t xml:space="preserve">2. </w:t>
      </w:r>
      <w:r>
        <w:rPr>
          <w:rFonts w:ascii="Calibri" w:hAnsi="Calibri"/>
          <w:b w:val="0"/>
          <w:color w:val="3A4A28"/>
          <w:sz w:val="20"/>
        </w:rPr>
        <w:t>Employee culture challenges (Glassdoor 2.9/5, 36% recommendation rate, 2.0/5 work-life balance) could impair talent retention and innovation execution at a critical moment when UMC needs to attract engineers for silicon photonics and advanced packaging initiatives [2]</w:t>
      </w:r>
    </w:p>
    <w:p>
      <w:pPr>
        <w:spacing w:before="40" w:after="40"/>
        <w:ind w:left="283"/>
      </w:pPr>
      <w:r>
        <w:rPr>
          <w:rFonts w:ascii="Calibri" w:hAnsi="Calibri"/>
          <w:b/>
          <w:color w:val="4A6B25"/>
          <w:sz w:val="20"/>
        </w:rPr>
        <w:t xml:space="preserve">3. </w:t>
      </w:r>
      <w:r>
        <w:rPr>
          <w:rFonts w:ascii="Calibri" w:hAnsi="Calibri"/>
          <w:b w:val="0"/>
          <w:color w:val="3A4A28"/>
          <w:sz w:val="20"/>
        </w:rPr>
        <w:t>Geopolitical risk from cross-strait Taiwan tensions and UMC's fab operations in mainland China, where regulatory restrictions on advanced semiconductor technology could constrain expansion or force costly restructuring of the supply chain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UMC operates physical semiconductor fabrication facilities — AI cannot replace the manufacturing of silicon chips, which requires billion-dollar cleanrooms, specialized equipment, and decades of process engineering expertise [1]. The foundry business model has natural protection from AI disruption because it involves physical-world operations with extreme capital intensity and regulatory requirements. While UMC focuses on mature nodes (22nm+) rather than the leading-edge AI chip nodes dominated by TSMC, mature-node demand is driven by power management ICs, sensors, MCUs, and connectivity chips that are essential components in AI infrastructure systems. The risk is competitive rather than existential — TSMC's dominance and GlobalFoundries' specialty focus could squeeze UMC's share, but AI as a technology increases aggregate semiconductor demand rather than threatening foundry business models. AI Opportunity (1/1): UMC generates quantifiable AI-related revenue through its silicon photonics production at its Singapore fab, which supplies optical interconnect components for AI data center infrastructure [2]. The company's 22nm platform also serves AI-adjacent applications including edge computing controllers and automotive AI processors.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UMC Q2 2026 Earnings Release — Revenue NT$68.73B (+17% YoY), 22/28nm Record, H1 Revenue NT$129.77B (+11.28% YoY), July 2026</w:t>
      </w:r>
    </w:p>
    <w:p>
      <w:pPr>
        <w:spacing w:before="20" w:after="20"/>
        <w:ind w:left="170"/>
      </w:pPr>
      <w:r>
        <w:rPr>
          <w:rFonts w:ascii="Calibri" w:hAnsi="Calibri"/>
          <w:b/>
          <w:color w:val="4A6B25"/>
          <w:sz w:val="15"/>
        </w:rPr>
        <w:t xml:space="preserve">2. </w:t>
      </w:r>
      <w:r>
        <w:rPr>
          <w:rFonts w:ascii="Calibri" w:hAnsi="Calibri"/>
          <w:b w:val="0"/>
          <w:color w:val="3A4A28"/>
          <w:sz w:val="17"/>
        </w:rPr>
        <w:t>UMC Leadership &amp; Culture — Jason Wang Named CEO (Feb 2026), Silicon Photonics Singapore Production, Glassdoor 2.9/5 (435 Reviews) — Digitimes, SeekingAlpha, Glassdoor, 2026</w:t>
      </w:r>
    </w:p>
    <w:p>
      <w:pPr>
        <w:spacing w:before="20" w:after="20"/>
        <w:ind w:left="170"/>
      </w:pPr>
      <w:r>
        <w:rPr>
          <w:rFonts w:ascii="Calibri" w:hAnsi="Calibri"/>
          <w:b/>
          <w:color w:val="4A6B25"/>
          <w:sz w:val="15"/>
        </w:rPr>
        <w:t xml:space="preserve">3. </w:t>
      </w:r>
      <w:r>
        <w:rPr>
          <w:rFonts w:ascii="Calibri" w:hAnsi="Calibri"/>
          <w:b w:val="0"/>
          <w:color w:val="3A4A28"/>
          <w:sz w:val="17"/>
        </w:rPr>
        <w:t>UMC ESG &amp; Sustainability — CDP Double-A Climate &amp; Water 3 Consecutive Years, DJSI Recognition, Net Zero 2050 Pledge — UMC Sustainability Report, 2024-2025</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UMC Key Statistics: Forward P/E 17.18, ROE 21.33%, Profit Margin 33.29%, D/E 14.29%, PEG 0.97,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