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UNM</w:t>
      </w:r>
      <w:r>
        <w:rPr>
          <w:rFonts w:ascii="Calibri" w:hAnsi="Calibri"/>
          <w:b/>
          <w:color w:val="1A2010"/>
          <w:sz w:val="40"/>
        </w:rPr>
        <w:t xml:space="preserve">  Unum Group</w:t>
      </w:r>
    </w:p>
    <w:p>
      <w:pPr>
        <w:spacing w:after="120"/>
      </w:pPr>
      <w:r>
        <w:rPr>
          <w:rFonts w:ascii="Calibri" w:hAnsi="Calibri"/>
          <w:b/>
          <w:color w:val="6E8450"/>
          <w:sz w:val="18"/>
        </w:rPr>
        <w:t>DIVIDEND SLEEVE · 2026-07-25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Unum Group provides financial protection benefit solutions through four segments: Unum US, Unum International, Colonial Life, and Closed Block. Products include group long-term and short-term disability, group life, accidental death and dismemberment, supplemental and voluntary benefits, dental, vision, accident, sickness, and cancer/critical illness coverage. The company sells to employers through field sales, brokers, and independent agents. Founded 1848, headquartered in Chattanooga, Tennessee.</w:t>
      </w:r>
    </w:p>
    <w:p>
      <w:r>
        <w:rPr>
          <w:rFonts w:ascii="Calibri" w:hAnsi="Calibri"/>
          <w:b/>
          <w:color w:val="6E8450"/>
          <w:sz w:val="18"/>
        </w:rPr>
        <w:t>10,684 Employees · https://www.unum.com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Unum's core disability and supplemental benefits product suite is fundamentally unchanged, though Q1 2026 showed strong execution with 14.4% enterprise sales growth and 5%+ core premium growth [1]. Revenue growth is driven by persistency improvements (92% customer retention) and new group enrollments, not product innovation. AI Deployment (1/2): CTO Gautam Roy (7.5-year tenure) is driving digital-first transformation with hackathons, sandboxes, and targeted AI pilots, and CIDO Shelia Anderson leads cloud, AI, and data analytics strategy [2]. However, no specific AI-driven revenue or quantified cost savings have been disclosed, and Glassdoor reviews suggest AI is being used to monitor employees rather than create customer value [2]. Market Share (1/2): Unum is a leading provider of employer-sponsored disability and supplemental benefits in the U.S. and UK, though the competitive landscape with MetLife, Hartford, and Lincoln Financial creates significant overlap [1]. Pipeline (0/2): 2026 guidance of 4-7% premium growth and 8-12% EPS growth represents solid organic performance but no next-generation products or services with specific launch timelines [1]. R&amp;D Intensity (1/1): Dual CTO/CIDO technology leadership structure with digital reimagination strategy, hackathons, and AI pilot programs is above average for a life/disability insurer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Unum's mission of 'helping the working world thrive throughout life's moments' is clear, specific to its employee benefits niche, and connects to a broader purpose of financial protection for workers during their most vulnerable moments [3]. Thoughtful but not transformative or uniquely differentiated from peers. Community Impact (2/2): Unum gave $12M in corporate and employee contributions to charitable causes with 45,000+ volunteer hours, and was recognized as one of Ethisphere's World's Most Ethical Companies, demonstrating institutional commitment to community and ethics [3]. Employee Retention (1/2): Mixed signals — Glassdoor shows supportive leadership and work-life balance alongside concerns about AI monitoring programs creating mistrust and low morale, and senior management 'praying that AI fixes it' without follow-through [2]. 92% customer retention is strong but distinct from employee retention. Insider Buying (1/2): Q1 2026 capital return of $400M in buybacks plus $78.4M in dividends demonstrates aggressive shareholder alignment, and 100% capital return commitment signals institutional conviction, though direct insider purchases were not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Unum's financial profile strengthened meaningfully in Q1 2026 with 14.4% sales growth, $2.14 EPS (beating $2.05 consensus), and guidance for 8-12% EPS growth [1]. Forward P/E of 9.62x is deeply discounted for a company delivering double-digit earnings growth. D/E of 37% is conservative for a life insurer with $2.25B cash against $4.02B debt [4]. ROE of 7.07% remains below the 15% target but is typical for life insurers with large legacy books. Profit margin of 5.9% is consistent with the insurance business model. The dividend profile is exceptional: 40 consecutive years paid, 17 consecutive years of growth, 9.6% recent dividend growth, and 40.9% payout ratio [4]. The company returned $478M to shareholders in Q1 alone ($400M buybacks + $78.4M dividends), implying ~$1.9B annualized shareholder return, a total shareholder yield of 10.35% [1][4]. Liquidity floor easily cleared at ~$147M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Unum demonstrates meaningful infinite game characteristics through its 178-year history (founded 1848), 17 consecutive years of dividend growth through the GFC and COVID-19, and consistent focus on protecting workers during vulnerable moments. The aggressive capital return program ($478M in Q1 2026 alone) and 100% earnings return commitment show shareholder alignment. However, Glassdoor concerns about AI monitoring and cultural mistrust, plus the absence of strategic reinvention,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Unum's mission of 'helping the working world thrive throughout life's moments' connects disability and benefits products to a genuine social purpose — protecting workers during illness, disability, and death [3]. This cause has been validated by 178 years of consistent focus on employee protection, surviving the Civil War era, the Great Depression, multiple economic cycles, and the Closed Block challenges. The Ethisphere World's Most Ethical Companies recognition reinforces the purpose. However, the mission reads as corporate rather than transformative — it serves a clear need but doesn't inspire broader societal change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organizational trust. CTO Gautam Roy emphasizes building 'safe spaces for people to experiment' through hackathons and sandboxes [2]. However, Glassdoor reviews reveal that AI monitoring programs are being used to closely track salaried employees, contributing to 'an overall culture of mistrust and low morale,' and that senior leadership's AI strategy is perceived as 'praying that AI fixes it' without delivering promised changes [2]. The 92% customer retention suggests front-line effectiveness, but internal culture appears strained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Unum's strategic focus on disability and supplemental benefits — rather than competing as a full-service life insurer against MetLife and Hartford — demonstrates self-awareness of where it can and cannot compete [1]. The Closed Block wind-down represents disciplined exit from legacy long-term care rather than clinging to unprofitable competitive positions. Management frames growth through niche specialization rather than market share warfare (1/1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Unum's business model has remained fundamentally unchanged for decades — group disability, life, and supplemental benefits sold through employer channels [1]. The Closed Block shift below the line is financial discipline, not strategic reinvention. The CTO/CIDO digital transformation represents incremental modernization. For a 178-year-old company, the lack of any major strategic pivot is both a sign of stability and rigidity — the business has never been reinvented (0/2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Multiple examples of courageous capital allocation: maintaining 17 consecutive years of dividend growth through the 2008 financial crisis and COVID-19, committing to 100% capital return in 2026 with $478M deployed in Q1 alone ($400M buybacks + $78.4M dividends), and making the difficult decision to reclassify the Closed Block below the line to provide cleaner core earnings visibility [1]. The sustained investment in digital transformation under CTO Roy while maintaining shareholder returns demonstrates willingness to invest for the long term (2/2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Unum Group delivered a strong Q1 2026 with EPS of $2.14 (beating $2.05 consensus), 14.4% sales growth, 5%+ core premium growth, and 92% customer retention [1]. The stock trades at just 9.62x forward earnings with guidance for 8-12% EPS growth and 4-7% premium growth, making it one of the cheapest double-digit EPS growers in the insurance sector [4]. The total shareholder yield of 10.35% — combining a 2.13% dividend (17 consecutive years of growth, 40.9% payout ratio) with an 8.23% buyback yield — provides exceptional capital return [4]. D/E of 37% and $2.25B cash provide balance sheet conservatism rare among insurers. The analyst consensus 'Buy' rating with a $102.23 average price target implies 18.6% upside [4].</w:t>
      </w:r>
    </w:p>
    <w:p>
      <w:pPr>
        <w:spacing w:after="120"/>
      </w:pPr>
      <w:r>
        <w:rPr>
          <w:rFonts w:ascii="Calibri" w:hAnsi="Calibri"/>
          <w:b w:val="0"/>
          <w:color w:val="3A4A28"/>
          <w:sz w:val="20"/>
        </w:rPr>
        <w:t>The bear case centers on growth sustainability, legacy risks, and cultural concerns. The 14.4% Q1 revenue growth includes the Closed Block accounting reclassification and may not be sustainable — management's own guidance of 4-7% topline growth suggests a more modest trajectory [1]. ROE of 7.07% and profit margin of 5.9% are below broader market benchmarks, reflecting the capital-intensive nature of long-term disability underwriting and legacy liability drag [4]. Glassdoor reviews reveal a troubling cultural dynamic where AI monitoring programs are creating employee mistrust, and senior leadership's technology strategy is perceived as directionless — 'praying that AI fixes it' without delivering promised changes [2]. The Closed Block, while shifted below the line, still carries residual long-term care and individual disability obligations that could generate reserve charges. Competition from MetLife, Hartford, and AI-powered InsurTech entrants limits pricing power in a mature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8-12% EPS growth execution with record Q1 2026 earnings and 92% customer retention driving sustained premium growth through improved persistency [1]</w:t>
      </w:r>
    </w:p>
    <w:p>
      <w:pPr>
        <w:spacing w:before="40" w:after="40"/>
        <w:ind w:left="283"/>
      </w:pPr>
      <w:r>
        <w:rPr>
          <w:rFonts w:ascii="Calibri" w:hAnsi="Calibri"/>
          <w:b/>
          <w:color w:val="4A6B25"/>
          <w:sz w:val="20"/>
        </w:rPr>
        <w:t xml:space="preserve">2. </w:t>
      </w:r>
      <w:r>
        <w:rPr>
          <w:rFonts w:ascii="Calibri" w:hAnsi="Calibri"/>
          <w:b w:val="0"/>
          <w:color w:val="3A4A28"/>
          <w:sz w:val="20"/>
        </w:rPr>
        <w:t>Aggressive capital return program — $478M in Q1 alone ($400M buybacks + $78.4M dividends) with 100% statutory earnings return commitment, supporting 10.35% total shareholder yield [1][4]</w:t>
      </w:r>
    </w:p>
    <w:p>
      <w:pPr>
        <w:spacing w:before="40" w:after="40"/>
        <w:ind w:left="283"/>
      </w:pPr>
      <w:r>
        <w:rPr>
          <w:rFonts w:ascii="Calibri" w:hAnsi="Calibri"/>
          <w:b/>
          <w:color w:val="4A6B25"/>
          <w:sz w:val="20"/>
        </w:rPr>
        <w:t xml:space="preserve">3. </w:t>
      </w:r>
      <w:r>
        <w:rPr>
          <w:rFonts w:ascii="Calibri" w:hAnsi="Calibri"/>
          <w:b w:val="0"/>
          <w:color w:val="3A4A28"/>
          <w:sz w:val="20"/>
        </w:rPr>
        <w:t>Forward PE of 9.62x represents significant valuation discount for a company delivering double-digit EPS growth, with analyst consensus target of $102.23 implying 18.6% upside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Closed Block legacy liabilities creating tail risk — while reclassified below the line, residual long-term care and individual disability obligations could generate unexpected reserve charges impacting capital returns [1]</w:t>
      </w:r>
    </w:p>
    <w:p>
      <w:pPr>
        <w:spacing w:before="40" w:after="40"/>
        <w:ind w:left="283"/>
      </w:pPr>
      <w:r>
        <w:rPr>
          <w:rFonts w:ascii="Calibri" w:hAnsi="Calibri"/>
          <w:b/>
          <w:color w:val="4A6B25"/>
          <w:sz w:val="20"/>
        </w:rPr>
        <w:t xml:space="preserve">2. </w:t>
      </w:r>
      <w:r>
        <w:rPr>
          <w:rFonts w:ascii="Calibri" w:hAnsi="Calibri"/>
          <w:b w:val="0"/>
          <w:color w:val="3A4A28"/>
          <w:sz w:val="20"/>
        </w:rPr>
        <w:t>Cultural erosion risk — Glassdoor reviews indicate AI monitoring programs creating employee mistrust and low morale, with senior leadership's technology strategy perceived as directionless, threatening operational execution [2]</w:t>
      </w:r>
    </w:p>
    <w:p>
      <w:pPr>
        <w:spacing w:before="40" w:after="40"/>
        <w:ind w:left="283"/>
      </w:pPr>
      <w:r>
        <w:rPr>
          <w:rFonts w:ascii="Calibri" w:hAnsi="Calibri"/>
          <w:b/>
          <w:color w:val="4A6B25"/>
          <w:sz w:val="20"/>
        </w:rPr>
        <w:t xml:space="preserve">3. </w:t>
      </w:r>
      <w:r>
        <w:rPr>
          <w:rFonts w:ascii="Calibri" w:hAnsi="Calibri"/>
          <w:b w:val="0"/>
          <w:color w:val="3A4A28"/>
          <w:sz w:val="20"/>
        </w:rPr>
        <w:t>Revenue growth sustainability — Q1 2026 14.4% growth includes accounting reclassification effects; management guidance of 4-7% represents the sustainable rate, and mature market dynamics limit topline acceleration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Unum's core disability and supplemental benefits business is protected by significant regulatory barriers, long-term employer relationships, and the complexity of underwriting employee populations [1]. Claims adjudication for disability insurance requires medical judgment, legal interpretation, and case-specific analysis that AI can augment but not fully replace. The 92% customer retention rate demonstrates relationship stickiness. However, AI-driven claims automation could pressure margins as competitors process claims more efficiently, and AI-powered InsurTech startups may target simpler supplemental benefit products (accident, critical illness) where underwriting complexity is lower [2]. AI Opportunity (1/1): CTO Gautam Roy's 7.5-year digital transformation and CIDO Shelia Anderson's AI/cloud strategy have deployed claims processing automation, data analytics, and AI-driven pilot programs, with technology innovation awards validating tangible deployment [2]. AI-driven claims triage represents material cost reduction potential across Unum's high-volume claims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Unum Group Q1 2026 Earnings Release — EPS $2.14 (beat $2.05), 14.4% sales growth, 5%+ premium growth, 92% retention, $400M buybacks, $78.4M dividends, April 2026</w:t>
      </w:r>
    </w:p>
    <w:p>
      <w:pPr>
        <w:spacing w:before="20" w:after="20"/>
        <w:ind w:left="170"/>
      </w:pPr>
      <w:r>
        <w:rPr>
          <w:rFonts w:ascii="Calibri" w:hAnsi="Calibri"/>
          <w:b/>
          <w:color w:val="4A6B25"/>
          <w:sz w:val="15"/>
        </w:rPr>
        <w:t xml:space="preserve">2. </w:t>
      </w:r>
      <w:r>
        <w:rPr>
          <w:rFonts w:ascii="Calibri" w:hAnsi="Calibri"/>
          <w:b w:val="0"/>
          <w:color w:val="3A4A28"/>
          <w:sz w:val="17"/>
        </w:rPr>
        <w:t>Forbes / Glassdoor — CTO Gautam Roy digital reimagination (7.5 years), CIDO Shelia Anderson, AI pilots, hackathons; Glassdoor: AI monitoring concerns, mistrust, mixed culture reviews</w:t>
      </w:r>
    </w:p>
    <w:p>
      <w:pPr>
        <w:spacing w:before="20" w:after="20"/>
        <w:ind w:left="170"/>
      </w:pPr>
      <w:r>
        <w:rPr>
          <w:rFonts w:ascii="Calibri" w:hAnsi="Calibri"/>
          <w:b/>
          <w:color w:val="4A6B25"/>
          <w:sz w:val="15"/>
        </w:rPr>
        <w:t xml:space="preserve">3. </w:t>
      </w:r>
      <w:r>
        <w:rPr>
          <w:rFonts w:ascii="Calibri" w:hAnsi="Calibri"/>
          <w:b w:val="0"/>
          <w:color w:val="3A4A28"/>
          <w:sz w:val="17"/>
        </w:rPr>
        <w:t>Unum ESG / Impact Report — $12M charitable contributions, 45,000+ volunteer hours, Ethisphere World's Most Ethical Companies, sustainability initiatives</w:t>
      </w:r>
    </w:p>
    <w:p>
      <w:pPr>
        <w:spacing w:before="20" w:after="20"/>
        <w:ind w:left="170"/>
      </w:pPr>
      <w:r>
        <w:rPr>
          <w:rFonts w:ascii="Calibri" w:hAnsi="Calibri"/>
          <w:b/>
          <w:color w:val="4A6B25"/>
          <w:sz w:val="15"/>
        </w:rPr>
        <w:t xml:space="preserve">4. </w:t>
      </w:r>
      <w:r>
        <w:rPr>
          <w:rFonts w:ascii="Calibri" w:hAnsi="Calibri"/>
          <w:b w:val="0"/>
          <w:color w:val="3A4A28"/>
          <w:sz w:val="17"/>
        </w:rPr>
        <w:t>StockAnalysis — UNM financial data: $13.78B market cap, PE 18.70, forward PE 9.62, D/E 37%, ROE 7.07%, $2.13% yield, 40.88% payout, 17yr dividend growth streak,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