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USA</w:t>
      </w:r>
      <w:r>
        <w:rPr>
          <w:rFonts w:ascii="Calibri" w:hAnsi="Calibri"/>
          <w:b/>
          <w:color w:val="1A2010"/>
          <w:sz w:val="40"/>
        </w:rPr>
        <w:t xml:space="preserve">  Liberty All-Star Equity Fund</w:t>
      </w:r>
    </w:p>
    <w:p>
      <w:pPr>
        <w:spacing w:after="120"/>
      </w:pPr>
      <w:r>
        <w:rPr>
          <w:rFonts w:ascii="Calibri" w:hAnsi="Calibri"/>
          <w:b/>
          <w:color w:val="6E8450"/>
          <w:sz w:val="18"/>
        </w:rPr>
        <w:t>DIVIDEND SLEEVE · 2026-08-06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Closed-End Fund - Equity · NYSE · United States</w:t>
      </w:r>
    </w:p>
    <w:p>
      <w:pPr>
        <w:spacing w:after="80"/>
      </w:pPr>
      <w:r>
        <w:rPr>
          <w:rFonts w:ascii="Calibri" w:hAnsi="Calibri"/>
          <w:b w:val="0"/>
          <w:color w:val="3A4A28"/>
          <w:sz w:val="20"/>
        </w:rPr>
        <w:t>Liberty All-Star Equity Fund is a diversified, multi-managed closed-end investment company with approximately $2.0 billion in net assets. Managed by ALPS Advisors, Inc., the fund allocates assets equally among five independent investment managers: Aristotle Capital Management, Fiduciary Management, Pzena Investment Management, TCW Investment Management, and Loomis Sayles &amp; Company (added June 2026). The fund follows a Large-Cap Core strategy combining three value-style and two growth-style managers, with a distribution policy targeting 10% of NAV annually. Listed since 1986.</w:t>
      </w:r>
    </w:p>
    <w:p>
      <w:r>
        <w:rPr>
          <w:rFonts w:ascii="Calibri" w:hAnsi="Calibri"/>
          <w:b/>
          <w:color w:val="6E8450"/>
          <w:sz w:val="18"/>
        </w:rPr>
        <w:t>https://www.all-starfunds.com/usa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As a closed-end fund, USA does not launch products or execute business model transformations in the traditional sense. However, the fund has actively evolved its manager lineup over 40 years, most recently replacing Sustainable Growth Advisers with Loomis Sayles &amp; Company in June 2026 to refresh its growth allocation [2]. This represents incremental adaptation to changing market dynamics. AI Deployment (0/2): No AI-powered investment products or quantified AI-driven operational improvements. The fund uses traditional multi-manager active equity strategies. Market Share (0/2): Not a market share leader in any product category; the fund operates in the highly competitive closed-end fund space with no distinctive market position. Product Pipeline (0/2): No next-generation products or services with specific launch timelines. R&amp;D Intensity (0/1): No R&amp;D function; the fund outsources all investment management to five external sub-advisors.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fund's stated objective is 'to seek total investment return, comprised of long-term capital appreciation and current income' — generic financial language interchangeable with thousands of equity funds [3]. There is no articulated purpose beyond capital allocation. Community Impact (0/2): No evidence of charitable programs, community investment, or foundation activity. As a closed-end fund managed by external advisors, the organizational structure does not lend itself to community engagement. Employee Retention (0/2): Not meaningfully applicable — the fund has no traditional employee base; investment management is outsourced to five sub-advisors. Insider Buying (0/2): No evidence of meaningful net insider buying by fund trustees or ALPS Advisors management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most operating company metrics are inapplicable to a closed-end fund. D/E is effectively 0% with 100.7% equity allocation and no structural leverage [1]. ROE proxy (2025 NAV total return) of 8.8% is below the 15% target but positive [1]. Revenue growth, forward P/E, and profit margin are excluded as inapplicable to a fund vehicle. Payout ratio exceeds 100% (the fund distributes 10% of NAV annually regardless of investment returns, resulting in return-of-capital distributions in weak years) and scores 0 [3]. Strong dividend history: the fund has made continuous distributions for approximately 38 years since listing in 1986 (scoring full marks at 2× weight), with estimated 5-year distribution growth CAGR of ~5% as NAV appreciation drives distribution increases [1]. Liquidity check: ~600,000 avg daily volume × ~$5.84 = ~$3.5M,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As a closed-end investment fund, USA is structurally a finite player — it exists to generate financial returns, not to advance a cause or build something enduring beyond capital appreciation. The IOWN Infinite Game framework is designed for operating companies with organizational purpose, culture, and competitive dynamics; a passive investment vehicle inherently scores at the low end of this dimension regardless of its investment performance or longevity.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fund exists to generate total investment return through capital appreciation and current income [3]. This is a financial objective, not a Just Cause in Sinek's framework — it describes no vision of a better future, invites no sacrifice in service of something larger, and is indistinguishable from the purpose of any investment vehicle. The fund is playing a finite game by definition.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Not meaningfully applicable. The fund has no traditional organizational structure with employees — investment management is outsourced to five independent sub-advisors overseen by ALPS Advisors. There is no evidence of internal culture, psychological safety, or team dynamics to evaluate. The multi-manager structure is a contractual arrangement, not a team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Fund communications focus on NAV returns, distribution yields, and performance comparisons — standard financial metrics rather than self-improvement through competitive learning. The fund competes for capital in a commoditized space without acknowledging rivals' strengths as motivation.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fund has demonstrated incremental adaptation over its 40-year history by periodically replacing underperforming sub-advisors — most recently substituting Sustainable Growth Advisers with Loomis Sayles &amp; Company in June 2026 [2]. This manager rotation shows willingness to evolve the investment approach, though the core structure (multi-manager active equity, 10% NAV distribution policy) has remained essentially unchanged since 1986.</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the fund's leadership making decisions that sacrifice near-term performance for long-term capability. The 10% NAV distribution policy, maintained through market cycles including the 2022 drawdown (-25.15% NAV return), distributes capital even when returns are insufficient, prioritizing income consistency over capital preservation — arguably a finite optimization for current yield over long-term compounding.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All-Star Equity Fund offers an attractive ~12.3% distribution yield backed by a multi-manager Large-Cap Core strategy that has delivered solid returns (20.89% in 2024, 23.25% in 2023, 8.8% NAV return in 2025) [1]. The 11.2% discount to NAV as of May 2026 provides a margin of safety, and the recent addition of Loomis Sayles as a growth manager (June 2026) refreshes the investment approach [2]. With ~$2.0B in net assets, 40 years of continuous distributions since 1986, and zero leverage, the fund provides institutional-quality diversified equity exposure with a high-income component for yield-focused investors.</w:t>
      </w:r>
    </w:p>
    <w:p>
      <w:pPr>
        <w:spacing w:after="120"/>
      </w:pPr>
      <w:r>
        <w:rPr>
          <w:rFonts w:ascii="Calibri" w:hAnsi="Calibri"/>
          <w:b w:val="0"/>
          <w:color w:val="3A4A28"/>
          <w:sz w:val="20"/>
        </w:rPr>
        <w:t>The bear case is structural rather than operational. The IOWN Return on Intention framework evaluates companies on innovation, inspiration, and purpose-driven leadership — dimensions where a closed-end fund inherently scores poorly because it is a financial vehicle, not an operating company with a mission. The 10% of NAV distribution policy erodes capital in down years (return of capital distributions), and the payout ratio exceeds 100% when investment returns fall short of the distribution target [3]. Active management faces secular headwinds from passive indexing and AI-driven quantitative strategies, threatening the fund's ability to generate alpha sufficient to justify its management fee structure. The low overall score reflects the IOWN framework's structural mismatch with investment vehicles rather than a judgment on the fund's investment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portfolio manager Loomis Sayles (added June 2026) led by Aziz Hamzaogullari could reinvigorate the growth allocation and improve NAV performance</w:t>
      </w:r>
    </w:p>
    <w:p>
      <w:pPr>
        <w:spacing w:before="40" w:after="40"/>
        <w:ind w:left="283"/>
      </w:pPr>
      <w:r>
        <w:rPr>
          <w:rFonts w:ascii="Calibri" w:hAnsi="Calibri"/>
          <w:b/>
          <w:color w:val="4A6B25"/>
          <w:sz w:val="20"/>
        </w:rPr>
        <w:t xml:space="preserve">2. </w:t>
      </w:r>
      <w:r>
        <w:rPr>
          <w:rFonts w:ascii="Calibri" w:hAnsi="Calibri"/>
          <w:b w:val="0"/>
          <w:color w:val="3A4A28"/>
          <w:sz w:val="20"/>
        </w:rPr>
        <w:t>11.2% discount to NAV creates potential for capital appreciation if the discount narrows toward historical averages through market recovery or fund-level actions</w:t>
      </w:r>
    </w:p>
    <w:p>
      <w:pPr>
        <w:spacing w:before="40" w:after="40"/>
        <w:ind w:left="283"/>
      </w:pPr>
      <w:r>
        <w:rPr>
          <w:rFonts w:ascii="Calibri" w:hAnsi="Calibri"/>
          <w:b/>
          <w:color w:val="4A6B25"/>
          <w:sz w:val="20"/>
        </w:rPr>
        <w:t xml:space="preserve">3. </w:t>
      </w:r>
      <w:r>
        <w:rPr>
          <w:rFonts w:ascii="Calibri" w:hAnsi="Calibri"/>
          <w:b w:val="0"/>
          <w:color w:val="3A4A28"/>
          <w:sz w:val="20"/>
        </w:rPr>
        <w:t>Strong equity market environment could drive NAV growth above the 10% distribution rate, eliminating return-of-capital distributions and improving tax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10% of NAV distribution policy erodes capital in years when investment returns fall below the distribution threshold, creating a structural drag on long-term NAV compounding</w:t>
      </w:r>
    </w:p>
    <w:p>
      <w:pPr>
        <w:spacing w:before="40" w:after="40"/>
        <w:ind w:left="283"/>
      </w:pPr>
      <w:r>
        <w:rPr>
          <w:rFonts w:ascii="Calibri" w:hAnsi="Calibri"/>
          <w:b/>
          <w:color w:val="4A6B25"/>
          <w:sz w:val="20"/>
        </w:rPr>
        <w:t xml:space="preserve">2. </w:t>
      </w:r>
      <w:r>
        <w:rPr>
          <w:rFonts w:ascii="Calibri" w:hAnsi="Calibri"/>
          <w:b w:val="0"/>
          <w:color w:val="3A4A28"/>
          <w:sz w:val="20"/>
        </w:rPr>
        <w:t>Active multi-manager equity strategy faces secular competitive pressure from passive index funds, ETFs, and AI-driven quantitative strategies that deliver lower-cost market exposure</w:t>
      </w:r>
    </w:p>
    <w:p>
      <w:pPr>
        <w:spacing w:before="40" w:after="40"/>
        <w:ind w:left="283"/>
      </w:pPr>
      <w:r>
        <w:rPr>
          <w:rFonts w:ascii="Calibri" w:hAnsi="Calibri"/>
          <w:b/>
          <w:color w:val="4A6B25"/>
          <w:sz w:val="20"/>
        </w:rPr>
        <w:t xml:space="preserve">3. </w:t>
      </w:r>
      <w:r>
        <w:rPr>
          <w:rFonts w:ascii="Calibri" w:hAnsi="Calibri"/>
          <w:b w:val="0"/>
          <w:color w:val="3A4A28"/>
          <w:sz w:val="20"/>
        </w:rPr>
        <w:t>Persistent 9-11% discount to NAV signals structural investor skepticism about closed-end fund vehicles, limiting price appreciation even when underlying holdings perform well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Liberty All-Star's core business model — multi-manager active equity investing — faces meaningful AI disruption risk from two directions. First, AI-driven quantitative strategies and algorithmic trading are increasingly competitive with traditional fundamental active management, compressing the alpha available to human stock-pickers [3]. Second, passive index funds and ETFs continue to gain share from active closed-end funds, a trend that AI-powered advisory platforms accelerate. However, the multi-manager structure provides some protection by diversifying across five independent investment approaches, and the closed-end structure eliminates redemption risk. AI Opportunity (0/1): No AI-derived revenue. The fund does not offer AI products or generate revenue from AI-related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All-Star Equity Fund Monthly Updates (January-June 2026) — StockTitan, BusinessWire, Nasdaq</w:t>
      </w:r>
    </w:p>
    <w:p>
      <w:pPr>
        <w:spacing w:before="20" w:after="20"/>
        <w:ind w:left="170"/>
      </w:pPr>
      <w:r>
        <w:rPr>
          <w:rFonts w:ascii="Calibri" w:hAnsi="Calibri"/>
          <w:b/>
          <w:color w:val="4A6B25"/>
          <w:sz w:val="15"/>
        </w:rPr>
        <w:t xml:space="preserve">2. </w:t>
      </w:r>
      <w:r>
        <w:rPr>
          <w:rFonts w:ascii="Calibri" w:hAnsi="Calibri"/>
          <w:b w:val="0"/>
          <w:color w:val="3A4A28"/>
          <w:sz w:val="17"/>
        </w:rPr>
        <w:t>Liberty All-Star Equity Fund Announces New Portfolio Manager — BusinessWire, June 12, 2026</w:t>
      </w:r>
    </w:p>
    <w:p>
      <w:pPr>
        <w:spacing w:before="20" w:after="20"/>
        <w:ind w:left="170"/>
      </w:pPr>
      <w:r>
        <w:rPr>
          <w:rFonts w:ascii="Calibri" w:hAnsi="Calibri"/>
          <w:b/>
          <w:color w:val="4A6B25"/>
          <w:sz w:val="15"/>
        </w:rPr>
        <w:t xml:space="preserve">3. </w:t>
      </w:r>
      <w:r>
        <w:rPr>
          <w:rFonts w:ascii="Calibri" w:hAnsi="Calibri"/>
          <w:b w:val="0"/>
          <w:color w:val="3A4A28"/>
          <w:sz w:val="17"/>
        </w:rPr>
        <w:t>Liberty All-Star Funds FAQ and Fund Overview — all-starfunds.com, CEF Connect,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Liberty All-Star Equity Fund Performance History — yCHarts, Seeking Alpha,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