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VIRC</w:t>
      </w:r>
      <w:r>
        <w:rPr>
          <w:rFonts w:ascii="Calibri" w:hAnsi="Calibri"/>
          <w:b/>
          <w:color w:val="1A2010"/>
          <w:sz w:val="40"/>
        </w:rPr>
        <w:t xml:space="preserve">  Virco Manufacturing Corporation</w:t>
      </w:r>
    </w:p>
    <w:p>
      <w:pPr>
        <w:spacing w:after="120"/>
      </w:pPr>
      <w:r>
        <w:rPr>
          <w:rFonts w:ascii="Calibri" w:hAnsi="Calibri"/>
          <w:b/>
          <w:color w:val="6E8450"/>
          <w:sz w:val="18"/>
        </w:rPr>
        <w:t>GROWTH SLEEVE · 2026-08-21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NASDAQ · United States</w:t>
      </w:r>
    </w:p>
    <w:p>
      <w:pPr>
        <w:spacing w:after="80"/>
      </w:pPr>
      <w:r>
        <w:rPr>
          <w:rFonts w:ascii="Calibri" w:hAnsi="Calibri"/>
          <w:b w:val="0"/>
          <w:color w:val="3A4A28"/>
          <w:sz w:val="20"/>
        </w:rPr>
        <w:t>Virco Manufacturing Corporation designs, manufactures, and distributes furniture for the education market, primarily serving preschool through university institutions across the United States. The company operates manufacturing facilities in Torrance, California and Conway, Arkansas, producing classroom desks, chairs, tables, storage, and cafeteria furniture under the Virco and Equipment for Educators brands. Founded in 1950, Virco is the largest domestic manufacturer of furniture for the educational market. FY2026 (Jan 2026) revenue was $199.7M (-25% YoY) with $2.6M net income.</w:t>
      </w:r>
    </w:p>
    <w:p>
      <w:r>
        <w:rPr>
          <w:rFonts w:ascii="Calibri" w:hAnsi="Calibri"/>
          <w:b/>
          <w:color w:val="6E8450"/>
          <w:sz w:val="18"/>
        </w:rPr>
        <w:t>750 Employees · https://virco.com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Virco has maintained its position as the largest U.S. manufacturer of educational furniture for 76 years, but there have been no meaningful product launches, market pivots, or business model transformations in the past five years [1]. The company continues to manufacture the same core product categories (desks, chairs, tables) for the same K-12 and higher education customer base. GREENGUARD certification for low chemical emissions was a positive differentiation but dates back over a decade. AI Deployment (0/2): No evidence of AI deployment in any form. Virco is a traditional furniture manufacturer with no disclosed AI-powered products, manufacturing analytics, or customer-facing technology initiatives [2]. Market Share (1/2): Virco describes itself as the largest domestic manufacturer of classroom furniture, representing meaningful share in the educational furnishings niche [1]. However, the market is fragmented with competitors like VS America, Smith System, and Steelcase Education, and FY2026 revenue declined 25% suggesting market contraction. Pipeline (1/2): Management reported incoming order rates running low double digits ahead of prior year as of the FY2026 earnings release, and pricing increases under largest contracts have been secured to restore margins [1]. However, no specific next-generation products or new market initiatives are publicly disclosed. R&amp;D Intensity (0/1): No R&amp;D spending data disclosed. Competitive advantage derives from manufacturing scale and distribution, not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Virco's stated purpose is providing 'Equipment for Educators' — furniture that supports learning environments from preschool through higher education [2]. This is clear and identifies what the company does and for whom, connecting to the broader purpose of enabling education. The 76-year commitment to U.S. manufacturing adds sincerity, but the mission lacks transformative vision. Community Impact (1/2): Virco was selected as one of three charter members of the EPA's WasteWise Hall of Fame in 2003, with recycling programs dating to 1989 processing over 313 million pounds of recyclable materials [3]. The 'Take Back' and 'Cash for Cardboard' programs extended environmental outreach to schools. However, these programs are not recent and current community investment data is lacking. Employee Retention (1/2): CEO Robert A. Virtue has led the company since 1988 — a remarkable 38-year tenure — with son Douglas Virtue serving as President since 2014, providing extraordinary leadership continuity [2]. Average management tenure of 16.8 years and board tenure of 10.2 years confirm deep organizational stability [4]. Glassdoor rating of 3.7/5 with 65% positive business outlook supports adequate employee sentiment, but broader workforce retention metrics are unavailable. Insider Buying (1/2): Robert Virtue's 19.6% ownership stake represents ~$18M in skin-in-the-game alignment with shareholders [2]. This constitutes significant insider commitment, though no recent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15,705 shares x $5.89 stock price = $92,502 daily traded value, far below the $1,000,000 minimum threshold [5]. Infrastructure score is automatically 0. For context, the underlying financial picture has deteriorated further since FY2026: TTM revenue of $196.6M continues declining from the $199.7M FY2026 figure, with TTM net income turning slightly negative at -$0.94M [5]. Forward P/E has ballooned from 3.5x to 26.8x as analysts slashed earnings estimates, implying forward EPS of only $0.22 versus the FY2026 figure of $0.16 [5]. The one bright spot remains the balance sheet — D/E of 37.8% is conservative with $38.8M total debt against $102.4M equity. But the stock's $92.6M market cap and $92K daily traded value make it completely untradeable for any institutional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Virco demonstrates strong infinite-game characteristics through its 76-year commitment to American manufacturing and educational furniture, extraordinary leadership continuity (CEO Robert Virtue's 38-year tenure, son Douglas as President, average management tenure 16.8 years), and the family's 19.6% ownership stake aligning leadership with long-term outcomes. Glassdoor rating of 3.7/5 with 65% positive outlook confirms organizational health [4]. The company has endured multiple economic cycles while maintaining its core purpose of equipping educators. However, the rigid adherence to a single business model for 76 years and lack of strategic evolution reflect some finite-game limitations.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Virco's 76-year commitment to 'Equipment for Educators' represents a genuine, service-oriented purpose — enabling learning environments across America's schools [2]. The Virtue family's multi-generational stewardship (Robert since 1988, Douglas since 2014) demonstrates that the cause endures beyond any single product cycle. The company's insistence on U.S. manufacturing in Torrance and Conway reflects values-based decision-making over purely economic optimization. However, the cause is operational ('make great furniture for schools') rather than transformative — it doesn't describe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Robert Virtue's 38-year tenure is among the longest of any publicly traded company CEO in America [2][4]. Average management tenure of 16.8 years and board tenure of 10.2 years demonstrate exceptional leadership continuity and organizational stability. Glassdoor rating of 3.7/5 with 65% positive business outlook confirms that employees view the company favorably [4]. With approximately 750 employees across two manufacturing facilities, the family-led structure creates closer management-employee relationships. The Virtue family's multi-generational presence (Robert as CEO, Douglas as President) signals a culture where people build careers, not just hold jobs.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Virco competes against VS America, Smith System, Steelcase Education, and various school furniture distributors [2]. The company's competitive response has been to deepen its own manufacturing capabilities, maintain domestic production differentiation, and invest in environmental leadership (EPA WasteWise, GREENGUARD) rather than pursuing a destructive competitive posture. The emphasis on 'iconic American quality' positions the brand on its own terms rather than attacking rivals' weaknesses.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Virco has maintained the same business model for 76 years — manufacturing furniture for schools [2]. While product lines have evolved incrementally (cafeteria furniture, lab tables, technology-enabled classroom layouts), there has been no fundamental reinvention. The company has not entered adjacent markets (office furniture, residential, healthcare), expanded internationally, or pivoted its business model in any meaningful way. Sinek would note that rigid adherence to a contracting domestic education furniture market suggests inability to adapt rather than strategic commitment to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Virtue family's commitment to U.S. manufacturing — maintaining facilities in Torrance, CA and Conway, AR despite lower-cost offshore alternatives — represents a principled stance that costs money [2]. Maintaining and growing the dividend ($0.10/share, up from $0.02 three years ago) through a 25% revenue decline and near-breakeven profitability shows conviction in cyclical recovery. However, the company's inability to invest counter-cyclically or enter new markets during the downturn suggests resource constraints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Virco Manufacturing offers deep value backed by the largest domestic educational furniture manufacturer's 76-year operating history, conservative 37.8% D/E balance sheet, and the Virtue family's 19.6% ownership alignment [1][2]. FY2026 revenue declined 25% to $199.7M as ESSER (COVID relief) funding expired and school furniture backlogs normalized, but incoming order rates were running low double digits ahead of prior year at last report, and pricing increases under key contracts have been secured [1]. The company's AI-immune physical manufacturing business, EPA WasteWise Hall of Fame environmental recognition, and Inspire Insight score of 47 with 6 positive attributions reflect genuine sustainability practices [3]. CEO Virtue's 38-year tenure and 16.8-year average management tenure provide leadership stability rare in public markets [4].</w:t>
      </w:r>
    </w:p>
    <w:p>
      <w:pPr>
        <w:spacing w:after="120"/>
      </w:pPr>
      <w:r>
        <w:rPr>
          <w:rFonts w:ascii="Calibri" w:hAnsi="Calibri"/>
          <w:b w:val="0"/>
          <w:color w:val="3A4A28"/>
          <w:sz w:val="20"/>
        </w:rPr>
        <w:t>The bear case is severe and dominates the investment profile. The stock fails IOWN's liquidity floor with only $92.5K in average daily traded value — a 65% deterioration from the $263K level three months ago, making exit risk extreme [5]. Forward P/E has ballooned from 3.5x to 26.8x as analysts slashed earnings estimates, implying forward EPS of only $0.22 — suggesting the market no longer expects a near-term earnings recovery [5]. TTM revenue has declined further to $196.6M with net income turning slightly negative at -$0.94M. The education furniture market may have permanently reset as school districts that front-loaded purchases with COVID relief funds delay replacement cycles for years. Virco's $92.6M market cap, 15.7K average daily volume, and 1.70% dividend yield provide no margin of safety. The company has no pricing power beyond commodity cost pass-throughs, no recurring revenue, and no technology differentiation. Even if earnings recover, the stock's extreme illiquidity makes any IOWN position impractical to establish or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Incoming order rates running low double digits ahead of prior year could signal the post-COVID education furniture trough is ending, with potential revenue recovery toward $230-250M in FY2027-2028 [1]</w:t>
      </w:r>
    </w:p>
    <w:p>
      <w:pPr>
        <w:spacing w:before="40" w:after="40"/>
        <w:ind w:left="283"/>
      </w:pPr>
      <w:r>
        <w:rPr>
          <w:rFonts w:ascii="Calibri" w:hAnsi="Calibri"/>
          <w:b/>
          <w:color w:val="4A6B25"/>
          <w:sz w:val="20"/>
        </w:rPr>
        <w:t xml:space="preserve">2. </w:t>
      </w:r>
      <w:r>
        <w:rPr>
          <w:rFonts w:ascii="Calibri" w:hAnsi="Calibri"/>
          <w:b w:val="0"/>
          <w:color w:val="3A4A28"/>
          <w:sz w:val="20"/>
        </w:rPr>
        <w:t>Pricing increases under largest contracts restore margin structure, with management expecting profitability maintenance even without material volume recovery [1]</w:t>
      </w:r>
    </w:p>
    <w:p>
      <w:pPr>
        <w:spacing w:before="40" w:after="40"/>
        <w:ind w:left="283"/>
      </w:pPr>
      <w:r>
        <w:rPr>
          <w:rFonts w:ascii="Calibri" w:hAnsi="Calibri"/>
          <w:b/>
          <w:color w:val="4A6B25"/>
          <w:sz w:val="20"/>
        </w:rPr>
        <w:t xml:space="preserve">3. </w:t>
      </w:r>
      <w:r>
        <w:rPr>
          <w:rFonts w:ascii="Calibri" w:hAnsi="Calibri"/>
          <w:b w:val="0"/>
          <w:color w:val="3A4A28"/>
          <w:sz w:val="20"/>
        </w:rPr>
        <w:t>Conservative balance sheet (D/E 37.8%, current ratio 2.71) and the Virtue family's 19.6% ownership ensure the company can survive the downturn and benefit from eventual cyclical recovery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Average daily traded value of $92.5K (15,705 shares x $5.89) makes the stock completely untradeable for IOWN — a 65% deterioration in daily dollar volume from three months prior, with exit risk that could create outsized losses [5]</w:t>
      </w:r>
    </w:p>
    <w:p>
      <w:pPr>
        <w:spacing w:before="40" w:after="40"/>
        <w:ind w:left="283"/>
      </w:pPr>
      <w:r>
        <w:rPr>
          <w:rFonts w:ascii="Calibri" w:hAnsi="Calibri"/>
          <w:b/>
          <w:color w:val="4A6B25"/>
          <w:sz w:val="20"/>
        </w:rPr>
        <w:t xml:space="preserve">2. </w:t>
      </w:r>
      <w:r>
        <w:rPr>
          <w:rFonts w:ascii="Calibri" w:hAnsi="Calibri"/>
          <w:b w:val="0"/>
          <w:color w:val="3A4A28"/>
          <w:sz w:val="20"/>
        </w:rPr>
        <w:t>Forward P/E expansion from 3.5x to 26.8x signals analyst pessimism about earnings recovery — FY2026 revenue declined 25% and TTM net income has turned negative, with the education furniture market potentially in secular rather than cyclical decline [1][5]</w:t>
      </w:r>
    </w:p>
    <w:p>
      <w:pPr>
        <w:spacing w:before="40" w:after="40"/>
        <w:ind w:left="283"/>
      </w:pPr>
      <w:r>
        <w:rPr>
          <w:rFonts w:ascii="Calibri" w:hAnsi="Calibri"/>
          <w:b/>
          <w:color w:val="4A6B25"/>
          <w:sz w:val="20"/>
        </w:rPr>
        <w:t xml:space="preserve">3. </w:t>
      </w:r>
      <w:r>
        <w:rPr>
          <w:rFonts w:ascii="Calibri" w:hAnsi="Calibri"/>
          <w:b w:val="0"/>
          <w:color w:val="3A4A28"/>
          <w:sz w:val="20"/>
        </w:rPr>
        <w:t>No technology differentiation, no pricing power beyond cost pass-throughs, and no recurring revenue in a commodity manufacturing business — Virco competes primarily on price and availability against lower-cost imports and online distributors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Virco's core business — manufacturing and distributing physical classroom furniture — is structurally immune to AI disruption [2]. AI cannot replace desks, chairs, tables, and cafeteria furniture required by every school in America. The business involves physical manufacturing, metal and plastic fabrication, logistics, and on-site delivery — all activities requiring physical infrastructure that software cannot replicate. Schools will continue to need furniture regardless of how AI transforms education delivery, and post-COVID trends confirm strong preference for in-person learning. Virco's 76-year manufacturing expertise in Torrance and Conway represents deep institutional knowledge. Scored 8 rather than 9 because AI-enabled remote/hybrid learning could modestly reduce physical classroom demand at the margin. AI Opportunity (0/1): Virco generates no AI-related revenue. The company has no AI-powered products, smart furniture, IoT-enabled classroom solutions, or any technology-driven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Virco Manufacturing FY2026 Earnings Release — $199.7M revenue (-25% YoY), $2.6M net income (-88%), incoming orders recovering low double digits, Stock Titan, April 2026</w:t>
      </w:r>
    </w:p>
    <w:p>
      <w:pPr>
        <w:spacing w:before="20" w:after="20"/>
        <w:ind w:left="170"/>
      </w:pPr>
      <w:r>
        <w:rPr>
          <w:rFonts w:ascii="Calibri" w:hAnsi="Calibri"/>
          <w:b/>
          <w:color w:val="4A6B25"/>
          <w:sz w:val="15"/>
        </w:rPr>
        <w:t xml:space="preserve">2. </w:t>
      </w:r>
      <w:r>
        <w:rPr>
          <w:rFonts w:ascii="Calibri" w:hAnsi="Calibri"/>
          <w:b w:val="0"/>
          <w:color w:val="3A4A28"/>
          <w:sz w:val="17"/>
        </w:rPr>
        <w:t>Virco Company Website, Simply Wall St Management Analysis — Robert Virtue 38-year tenure, 19.6% ownership, Douglas Virtue as President, Equipment for Educators brand,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U.S. EPA WasteWise Hall of Fame Recognition, GREENGUARD Certification, Virco Recycling Programs — 313M+ pounds recycled since 1989, Wikipedia,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and Simply Wall St — 3.7/5 employee rating, 65% positive outlook, average management tenure 16.8 years, board tenure 10.2 years,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VIRC Stock Price $5.89, Market Cap $92.65M, Forward PE 26.77, Avg Volume 15,705,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