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VMC</w:t>
      </w:r>
      <w:r>
        <w:rPr>
          <w:rFonts w:ascii="Calibri" w:hAnsi="Calibri"/>
          <w:b/>
          <w:color w:val="1A2010"/>
          <w:sz w:val="40"/>
        </w:rPr>
        <w:t xml:space="preserve">  Vulcan Materials Company</w:t>
      </w:r>
    </w:p>
    <w:p>
      <w:pPr>
        <w:spacing w:after="120"/>
      </w:pPr>
      <w:r>
        <w:rPr>
          <w:rFonts w:ascii="Calibri" w:hAnsi="Calibri"/>
          <w:b/>
          <w:color w:val="6E8450"/>
          <w:sz w:val="18"/>
        </w:rPr>
        <w:t>GROWTH SLEEVE · 2026-08-05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Building Materials · NYSE · United States</w:t>
      </w:r>
    </w:p>
    <w:p>
      <w:pPr>
        <w:spacing w:after="80"/>
      </w:pPr>
      <w:r>
        <w:rPr>
          <w:rFonts w:ascii="Calibri" w:hAnsi="Calibri"/>
          <w:b w:val="0"/>
          <w:color w:val="3A4A28"/>
          <w:sz w:val="20"/>
        </w:rPr>
        <w:t>Vulcan Materials Company is the nation's largest producer of construction aggregates — primarily crushed stone, sand, and gravel — and a major producer of aggregates-based construction materials including asphalt and ready-mixed concrete. The company operates approximately 400 active aggregates facilities across 17 states and Washington, D.C., serving highway, infrastructure, commercial, and residential construction markets. Following the 2021 acquisition of U.S. Concrete for $1.6B, Vulcan expanded into ready-mixed concrete operations. Founded in 1909 and headquartered in Birmingham, Alabama, the company reported 2025 revenue of $7.94B and reaffirmed 2026 adjusted EBITDA guidance of $2.4-$2.6B.</w:t>
      </w:r>
    </w:p>
    <w:p>
      <w:r>
        <w:rPr>
          <w:rFonts w:ascii="Calibri" w:hAnsi="Calibri"/>
          <w:b/>
          <w:color w:val="6E8450"/>
          <w:sz w:val="18"/>
        </w:rPr>
        <w:t>11,548 Employees · https://www.vulcanmaterials.com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$1.6B acquisition of U.S. Concrete in 2021 was a significant strategic move that opened a new revenue stream in ready-mixed concrete, expanding Vulcan's addressable market beyond pure aggregates into a vertically integrated construction materials platform [1]. This qualifies as a significant pivot that opened a new revenue stream, though the core aggregates business model remains unchanged. AI Deployment (0/2): No evidence of AI-powered products or quantified AI-driven operational savings. Vulcan's business is fundamentally about mining, crushing, and transporting physical rock — operations with limited AI product differentiation [2]. Market Share (2/2): Vulcan is the undisputed category leader as the nation's largest producer of construction aggregates, operating approximately 400 facilities with dominant regional positions in high-growth Sun Belt markets [1]. Aggregates are uneconomical to transport beyond 30-50 miles, making local quarry proximity an irreplicable competitive moat. Product Pipeline (0/2): As a commodity materials producer, Vulcan has no next-generation product pipeline — growth comes from acquisitions, new quarry development, and pricing discipline rather than product innovation. R&amp;D Intensity (0/1): R&amp;D spending is negligible as a percentage of revenue, typical for construction materials but below any meaningful industry benchmark for innovation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Vulcan's stated mission — 'We will be a good corporate citizen in each community in which we operate. We will support and take an active part in public and charitable projects' — is generic boilerplate interchangeable with virtually any industrial company [3]. The 'Vulcan Way' culture emphasizes continuous improvement and disciplined decision-making but functions as an operational philosophy, not an inspiring purpose statement [2]. Community Impact (1/2): The Vulcan Materials Company Foundation, established in 1988, has invested for 38 years in education, health, environmental stewardship, and basic needs across communities where Vulcan operates [3]. Environmental operations are 98%+ citation-free on regulatory inspections [4]. These are meaningful but general corporate philanthropy programs without specific dollar amounts cited for recent years. Employee Retention (0/2): No specific voluntary turnover rates, average tenure, or mission-driven retention data available publicly. The CEO succession from Tom Hill to Ronnie Pruitt in January 2026 was orderly [2], but no employee-level retention evidence was found. Insider Buying (0/2): Net insider selling in 2026 — SVP David Clement sold $646,545 in shares at $292.29 per share in June 2026 [5]. No evidence of meaningful net insider buying by CEO Pruitt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on available metrics. Vulcan's balance sheet anchors the score with a conservative D/E of 58%, well below the 70% target despite $4.94B in debt [1]. The 5-year revenue CAGR of 10.6% exceeds the 10% target, though this figure is flattering due to the COVID-depressed 2020 base year — the recent growth trajectory has moderated to 7.1% YoY in 2025 and just 3% in Q2 2026 [1]. ROE of 12.97% falls short of the 15% target, and profit margin of 13.56% is below the 20% threshold, both reflecting the capital-intensive nature of quarry operations. Forward P/E of 30.11x is elevated for a cyclical materials company, and PEG of 1.97 signals the stock is expensively valued relative to its growth rate. EPS grew 18.4% in 2025 to $8.16, with analysts projecting $9.27 for 2026 [5]. Liquidity is excellent at approximately $298M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Vulcan Materials' 117-year operating history and dominant aggregates franchise demonstrate genuine endurance, but the company lacks a transcendent Just Cause beyond operational excellence and market dominance. The orderly January 2026 CEO succession from Tom Hill to Ronnie Pruitt and the patient approach to multi-decade quarry reserve development reflect institutional continuity [2]. Sinek would recognize the build-to-endure DNA in Vulcan's pricing discipline and generational asset management, but would note the absence of an inspiring vision beyond profitably extracting and selling construction materials.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Vulcan's mission — being a 'good corporate citizen' and supporting 'charitable projects' — is not a Just Cause by Sinek's definition [3]. It does not describe a future state that does not yet exist, is not bold enough to never be fully achieved, and does not appear to be the reason people join and stay. The 'Vulcan Way' is an operational discipline focused on efficiency and pricing, not an aspirational purpose. Vulcan exists to profitably extract and sell aggregates — a durable and valuable business, but one lacking the transformative idealism Sinek requires.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Vulcan maintains a stable organization with consistent leadership. The January 2026 CEO succession from Tom Hill (transitioning to Executive Chairman) to COO Ronnie Pruitt after Pruitt served as COO since August 2023 was orderly and well-planned, reflecting institutional continuity over individual leadership [2]. The company's long operating history and Birmingham headquarters provide organizational stability. No major cultural disruptions or layoffs identified, but no specific evidence of exceptional employee trust or empowerment either.</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Vulcan competes with Martin Marietta, CRH, and Summit Materials, and management's competitive language focuses on self-improvement through the 'Vulcan Way of Selling' and 'Vulcan Way of Operating' frameworks rather than defeating competitors [1][2]. The company's competitive strategy centers on pricing discipline, operational excellence, and local market positioning rather than aggressive market share warfare, reflecting an infinite competitive mindset oriented around getting better rather than winning.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Vulcan has evolved incrementally over its 117-year history — from its origins as Birmingham Slag Company to the nation's largest aggregates producer, and most recently into ready-mixed concrete through the $1.6B U.S. Concrete acquisition in 2021 [1]. The company has entered adjacent markets and adapted to changing construction demand patterns. However, these are strategic portfolio extensions, not transformative reinventions — the core business of extracting and selling aggregates remains fundamentally unchanged for over a century.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Vulcan has demonstrated a pattern of courageous long-term investment decisions. Management maintained aggregates pricing discipline through the 2008-2012 construction downturn when volumes fell 35%, sacrificing near-term volume for long-term pricing power while competitors were cutting prices [1]. The $1.6B U.S. Concrete acquisition expanded capabilities during uncertain market conditions. Management consistently invests in permitted quarry reserves that will not generate revenue for years or decades, prioritizing multi-generational asset development over quarterly earnings optimization. Q2 2026 pricing exiting at the upper end of the 4-6% mix-adjusted range despite only 3% revenue growth reflects continued long-term discipline over short-term volume chasing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Vulcan Materials offers a pure-play bet on U.S. infrastructure spending through its dominant position as the nation's largest aggregates producer. The company's approximately 400 facilities across 17 Sun Belt states create irreplaceable logistics moats — aggregates are heavy and expensive to transport, making local quarry proximity the ultimate competitive advantage [1]. With 2025 revenue of $7.94B, reaffirmed 2026 EBITDA guidance of $2.4-$2.6B, and pricing discipline that pushed Q2 2026 mix-adjusted aggregates prices to the upper end of the 4-6% range, Vulcan is executing well on its aggregates-first strategy [1]. EPS grew 18.4% in 2025 to $8.16, and analysts project $9.27 for 2026 — a further 15.9% increase. D/E of 58% is conservative for an asset-heavy business, and IIJA infrastructure spending provides a multi-year demand tailwind [5].</w:t>
      </w:r>
    </w:p>
    <w:p>
      <w:pPr>
        <w:spacing w:after="120"/>
      </w:pPr>
      <w:r>
        <w:rPr>
          <w:rFonts w:ascii="Calibri" w:hAnsi="Calibri"/>
          <w:b w:val="0"/>
          <w:color w:val="3A4A28"/>
          <w:sz w:val="20"/>
        </w:rPr>
        <w:t>The bear case centers on premium valuation and cyclical exposure. At 30.1x forward earnings and PEG of 1.97, VMC is priced for sustained growth that Q2 2026's modest 3% revenue increase may not deliver [1][5]. The 5-year revenue CAGR of 10.6% is flattering due to the COVID-depressed 2020 base — recent annual growth of 7.1% and quarterly deceleration to 3% suggest normalization. ROE of 12.97% underperforms the 15% target, reflecting capital intensity inherent to quarry operations. While IIJA provides a demand floor, housing and commercial construction remain cyclically sensitive, and the 2008-2012 downturn saw aggregates volumes fall 35%. The 0.74% dividend yield offers minimal income cushion, and environmental permitting delays or community opposition to quarry expansions could constrain reserve replacement in high-growth markets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IIJA infrastructure spending acceleration through 2027-2028 providing multi-year demand floor for aggregates — each $1B in highway spending requires approximately 40,000 tons of aggregates, directly benefiting VMC's dominant Sun Belt positions [1]</w:t>
      </w:r>
    </w:p>
    <w:p>
      <w:pPr>
        <w:spacing w:before="40" w:after="40"/>
        <w:ind w:left="283"/>
      </w:pPr>
      <w:r>
        <w:rPr>
          <w:rFonts w:ascii="Calibri" w:hAnsi="Calibri"/>
          <w:b/>
          <w:color w:val="4A6B25"/>
          <w:sz w:val="20"/>
        </w:rPr>
        <w:t xml:space="preserve">2. </w:t>
      </w:r>
      <w:r>
        <w:rPr>
          <w:rFonts w:ascii="Calibri" w:hAnsi="Calibri"/>
          <w:b w:val="0"/>
          <w:color w:val="3A4A28"/>
          <w:sz w:val="20"/>
        </w:rPr>
        <w:t>AI-driven data center construction boom creating incremental aggregates demand — each hyperscale facility consumes hundreds of thousands of tons of crushed stone for foundations, roads, and site preparation</w:t>
      </w:r>
    </w:p>
    <w:p>
      <w:pPr>
        <w:spacing w:before="40" w:after="40"/>
        <w:ind w:left="283"/>
      </w:pPr>
      <w:r>
        <w:rPr>
          <w:rFonts w:ascii="Calibri" w:hAnsi="Calibri"/>
          <w:b/>
          <w:color w:val="4A6B25"/>
          <w:sz w:val="20"/>
        </w:rPr>
        <w:t xml:space="preserve">3. </w:t>
      </w:r>
      <w:r>
        <w:rPr>
          <w:rFonts w:ascii="Calibri" w:hAnsi="Calibri"/>
          <w:b w:val="0"/>
          <w:color w:val="3A4A28"/>
          <w:sz w:val="20"/>
        </w:rPr>
        <w:t>Continued aggregates pricing discipline with Q2 2026 mix-adjusted pricing exiting at the upper end of the 4-6% range, supporting margin expansion toward the $2.6B high end of EBITDA guidance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30.1x forward earnings and PEG of 1.97 leaves minimal margin of safety — any deceleration from Q2 2026's already modest 3% revenue growth could trigger meaningful multiple compression [5]</w:t>
      </w:r>
    </w:p>
    <w:p>
      <w:pPr>
        <w:spacing w:before="40" w:after="40"/>
        <w:ind w:left="283"/>
      </w:pPr>
      <w:r>
        <w:rPr>
          <w:rFonts w:ascii="Calibri" w:hAnsi="Calibri"/>
          <w:b/>
          <w:color w:val="4A6B25"/>
          <w:sz w:val="20"/>
        </w:rPr>
        <w:t xml:space="preserve">2. </w:t>
      </w:r>
      <w:r>
        <w:rPr>
          <w:rFonts w:ascii="Calibri" w:hAnsi="Calibri"/>
          <w:b w:val="0"/>
          <w:color w:val="3A4A28"/>
          <w:sz w:val="20"/>
        </w:rPr>
        <w:t>Cyclical exposure to residential and commercial construction: while IIJA provides a public infrastructure floor, housing starts are sensitive to interest rates and could decline, pressuring volumes as they did 35% during 2008-2012</w:t>
      </w:r>
    </w:p>
    <w:p>
      <w:pPr>
        <w:spacing w:before="40" w:after="40"/>
        <w:ind w:left="283"/>
      </w:pPr>
      <w:r>
        <w:rPr>
          <w:rFonts w:ascii="Calibri" w:hAnsi="Calibri"/>
          <w:b/>
          <w:color w:val="4A6B25"/>
          <w:sz w:val="20"/>
        </w:rPr>
        <w:t xml:space="preserve">3. </w:t>
      </w:r>
      <w:r>
        <w:rPr>
          <w:rFonts w:ascii="Calibri" w:hAnsi="Calibri"/>
          <w:b w:val="0"/>
          <w:color w:val="3A4A28"/>
          <w:sz w:val="20"/>
        </w:rPr>
        <w:t>Environmental permitting risk as local communities increasingly oppose new quarry development and expansions, potentially constraining long-term reserve replacement in VMC's highest-growth Sun Belt markets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Vulcan's core business — mining, processing, and distributing physical construction aggregates — is structurally immune to AI disruption [1]. AI cannot substitute for crushed stone, sand, and gravel; these are physical commodities essential to infrastructure, housing, and commercial construction. Regulatory permitting barriers (new quarry permits take decades), geographic logistics moats (aggregates are uneconomical to transport &gt;50 miles), and physical asset requirements create defensive moats AI has no mechanism to replicate. AI may actually increase demand for Vulcan's products — each hyperscale data center requires hundreds of thousands of tons of aggregates for foundations, roads, and site preparation, making VMC a direct beneficiary of the AI infrastructure buildout [1]. Analysts view VMC as a pure infrastructure play with zero AI substitution risk. AI Opportunity (0/1): Vulcan does not generate revenue from AI products or services. While the company may use technology for operational optimization, no quantifiable AI-related revenue exists.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Vulcan Materials Q2 2026 Earnings Release — Revenue $2.156B up 3% YoY, Adjusted EBITDA $654M, Reaffirmed Full-Year Guidance, PR Newswire, July 2026</w:t>
      </w:r>
    </w:p>
    <w:p>
      <w:pPr>
        <w:spacing w:before="20" w:after="20"/>
        <w:ind w:left="170"/>
      </w:pPr>
      <w:r>
        <w:rPr>
          <w:rFonts w:ascii="Calibri" w:hAnsi="Calibri"/>
          <w:b/>
          <w:color w:val="4A6B25"/>
          <w:sz w:val="15"/>
        </w:rPr>
        <w:t xml:space="preserve">2. </w:t>
      </w:r>
      <w:r>
        <w:rPr>
          <w:rFonts w:ascii="Calibri" w:hAnsi="Calibri"/>
          <w:b w:val="0"/>
          <w:color w:val="3A4A28"/>
          <w:sz w:val="17"/>
        </w:rPr>
        <w:t>Vulcan Materials CEO Succession Plan — Ronnie Pruitt Named CEO Effective January 2026, Tom Hill to Executive Chairman, PR Newswire, 2026</w:t>
      </w:r>
    </w:p>
    <w:p>
      <w:pPr>
        <w:spacing w:before="20" w:after="20"/>
        <w:ind w:left="170"/>
      </w:pPr>
      <w:r>
        <w:rPr>
          <w:rFonts w:ascii="Calibri" w:hAnsi="Calibri"/>
          <w:b/>
          <w:color w:val="4A6B25"/>
          <w:sz w:val="15"/>
        </w:rPr>
        <w:t xml:space="preserve">3. </w:t>
      </w:r>
      <w:r>
        <w:rPr>
          <w:rFonts w:ascii="Calibri" w:hAnsi="Calibri"/>
          <w:b w:val="0"/>
          <w:color w:val="3A4A28"/>
          <w:sz w:val="17"/>
        </w:rPr>
        <w:t>Vulcan Materials Foundation — Community Investment Since 1988 in Education, Health, and Environmental Stewardship, vulcanmaterials.com,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Vulcan Materials ESG Report — 98%+ Citation-Free Environmental Inspections, Science-Based GHG Reduction Targets,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and Investing.com — VMC Key Statistics, Insider Trading Activity, and Analyst Estimates,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