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VOYA</w:t>
      </w:r>
      <w:r>
        <w:rPr>
          <w:rFonts w:ascii="Calibri" w:hAnsi="Calibri"/>
          <w:b/>
          <w:color w:val="1A2010"/>
          <w:sz w:val="40"/>
        </w:rPr>
        <w:t xml:space="preserve">  Voya Financial, Inc.</w:t>
      </w:r>
    </w:p>
    <w:p>
      <w:pPr>
        <w:spacing w:after="120"/>
      </w:pPr>
      <w:r>
        <w:rPr>
          <w:rFonts w:ascii="Calibri" w:hAnsi="Calibri"/>
          <w:b/>
          <w:color w:val="6E8450"/>
          <w:sz w:val="18"/>
        </w:rPr>
        <w:t>GROWTH SLEEVE · 2026-08-09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Conglomerates · NYSE · United States</w:t>
      </w:r>
    </w:p>
    <w:p>
      <w:pPr>
        <w:spacing w:after="80"/>
      </w:pPr>
      <w:r>
        <w:rPr>
          <w:rFonts w:ascii="Calibri" w:hAnsi="Calibri"/>
          <w:b w:val="0"/>
          <w:color w:val="3A4A28"/>
          <w:sz w:val="20"/>
        </w:rPr>
        <w:t>Voya Financial is a financial, retirement, and investment management company serving corporate and individual clients across the United States. Core businesses include workplace retirement plans, investment management (including AI-driven strategies), employee benefits administration, and financial planning services. Spun off from ING Group in 2013, headquartered in New York City.</w:t>
      </w:r>
    </w:p>
    <w:p>
      <w:r>
        <w:rPr>
          <w:rFonts w:ascii="Calibri" w:hAnsi="Calibri"/>
          <w:b/>
          <w:color w:val="6E8450"/>
          <w:sz w:val="18"/>
        </w:rPr>
        <w:t>11,000 Employees · https://www.voya.com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Voya completed its spin-off from ING Group in 2013 and has since built a focused retirement and benefits platform through organic growth and acquisitions, but no significant product launches or business model transformations have occurred within the last 5 years [1][2]. The company has pursued incremental growth through channel expansion and fee-based revenue optimization. AI Deployment (1/2): Voya Investment Management operates the Machine Intelligence Dynamic Global Equity fund, which uses AI and machine learning for active equity management, leveraging Azure Databricks for data analytics [3]. This represents a shipping AI-powered product with AUM-based revenue, though specific revenue figures are not quantified. Market Share (1/2): Voya is a meaningful player in the US retirement plan administration and workplace benefits market but is not a category leader — competing against significantly larger platforms like Fidelity, Vanguard, and Empower [1]. Product Pipeline (0/2): No specific next-generation products or platform launches were announced with timelines or revenue visibility [1][2]. R&amp;D Intensity (0/1): As a financial services company, Voya does not separately report R&amp;D spending, and technology investment is not highlighted as a competitive differentiator.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Voya's purpose statement — 'Clearing your path to financial confidence and a more fulfilling life' — identifies a higher purpose beyond profit (financial well-being) and is reasonably specific, but it is not distinctive enough to differentiate from any financial planning competitor [2]. The purpose does not demonstrably shape strategic decisions or create competitive advantage. Community Impact (0/2): No specific charitable foundation, community investment programs, or quantified giving was identified in research. The company references ESG integration as a 'business imperative,' but this is corporate positioning rather than community impact [5]. Employee Retention (0/2): Glassdoor rating of 3.6/5 with persistent layoffs in January, March, and May 2026, and employee complaints that the 'newly appointed CEO has filled C-level positions with personal acquaintances' and that 'lots of acquisitions result in significant layoffs' [4]. These are red flags for retention, not evidence of mission-driven staying. Insider Buying (0/2): Company insiders collectively sold $5.6M more than they bought in the last 12 months, with no insider buying and $0.4M in insider sales over the past three months alone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TTM net revenues grew 6% with adjusted operating margin expanding 100 bps to 29.0% [1]. Q1 2026 delivered adjusted operating EPS of $2.26 (up 13% YoY) and net income of $165M (up 23%) [2]. D/E of 53.67% is well below the 70% target, and forward P/E of 10.58 is a standout — far below the 20 target — indicating the stock is priced at a significant discount to the broader market [6]. Estimated forward PEG of ~0.96 (based on ~11% projected EPS growth) is below the 1.0 target, representing attractive growth-adjusted valuation. Key weaknesses are ROE of 14.14% (just below the 15% target), net margin of 9.42% (well below 20% due to the insurance/asset management business model), and 5-year revenue CAGR of ~5% reflecting modest organic growth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Voya Financial exhibits predominantly finite game characteristics. The company's persistent layoffs throughout 2026, leadership instability criticized on Glassdoor, and acquisition-driven growth strategy focused on scale over purpose reflect an organization optimizing for quarterly performance rather than long-term endurance. The transformation from ING subsidiary to standalone company was courageous but occurred over a decade ago, and recent organizational behavior suggests that initial purpose has been diluted by operational pragmatism.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Voya's purpose of 'clearing your path to financial confidence and a more fulfilling life' exists but reads as marketing copy rather than a deeply held organizational belief [2]. The purpose does not demonstrably constrain strategic decisions — the company pursues acquisitions and cost cuts (persistent layoffs in 2026) that appear driven by financial optimization rather than purpose advancement. Sinek would note that a company conducting three rounds of layoffs in six months (January, March, May 2026) is playing a finite game regardless of its stated purpose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Glassdoor reviews describe a 'worst company and leadership' culture where the new CEO 'filled C-level positions with personal acquaintances' [4]. Persistent workforce reductions in January, March, and May 2026 have eroded psychological safety, and employees note that 'when leaders deliver this difficult news, it's often mishandled by not treating it with compassion.' The Glassdoor senior management rating of 3.1/5 confirms widespread leadership dissatisfaction. Sinek's Circle of Safety is clearly broken when employees cannot trust they will have a job next quarter.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Voya's leadership acknowledging competitors' strengths or using competitive pressure for self-improvement. The company's commentary focuses on its own market positioning and organic growth metrics rather than learning from rivals like Fidelity, Empower, or Principal Financial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2013 spin-off from ING Group represented a genuine strategic transformation — Voya rebuilt itself as an independent US-focused retirement and benefits company from a European insurance conglomerate subsidiary [2]. This required courage and strategic clarity. However, since then, the company has pursued incremental growth through acquisitions rather than transformative reinvention, and no significant business model evolution has occurred in the past 5 years.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capability in recent years. The pattern of three layoff rounds in six months (January, March, May 2026) while simultaneously pursuing acquisitions suggests prioritizing near-term earnings over organizational health [4]. The CEO leadership transition has been marked by nepotistic hiring practices according to employee feedback, which is the opposite of courageous leadership. No examples found of walking away from profitable but misaligned business lines or investing counter-cyclically.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 Financial is a compellingly valued financial services company with strong fundamental metrics. Q2 2026 TTM adjusted operating margin expanded 100 bps to 29.0%, and Q1 2026 adjusted operating EPS of $2.26 grew 13% YoY [1][2]. The forward P/E of 10.58 and estimated PEG of ~0.96 represent significant valuation discounts to the broader market, and D/E of 53.67% with a 28.4% payout ratio provide financial flexibility. The $9.1B market cap retirement/benefits franchise benefits from structural tailwinds — aging demographics, 401(k) auto-enrollment expansion, and employer demand for comprehensive benefits platforms. The 5-year EPS growth CAGR of 22% demonstrates the company's ability to compound earnings through operating leverage and share buybacks.</w:t>
      </w:r>
    </w:p>
    <w:p>
      <w:pPr>
        <w:spacing w:after="120"/>
      </w:pPr>
      <w:r>
        <w:rPr>
          <w:rFonts w:ascii="Calibri" w:hAnsi="Calibri"/>
          <w:b w:val="0"/>
          <w:color w:val="3A4A28"/>
          <w:sz w:val="20"/>
        </w:rPr>
        <w:t>The discount valuation reflects legitimate concerns. Persistent layoffs (three rounds in H1 2026) and Glassdoor-documented leadership dysfunction signal organizational instability that could impair execution and client retention [4]. ROE of 14.14% — just below the 15% target — is modest for a financial services company, and net margin of 9.42% reflects the operational complexity of managing retirement plan administration at scale. Revenue growth of 5-6% is pedestrian for the valuation multiple compression, and the acquisition-driven growth strategy carries integration risk. The Investment Management segment faces AI-driven commoditization of systematic strategies, potentially compressing management fees. Insider selling of $5.6M in the last 12 months suggests insiders do not see current prices as a compelling entry point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10.58 with estimated PEG under 1.0 positions VOYA for re-rating if the company can sustain 10%+ EPS growth and demonstrate stability in its leadership team</w:t>
      </w:r>
    </w:p>
    <w:p>
      <w:pPr>
        <w:spacing w:before="40" w:after="40"/>
        <w:ind w:left="283"/>
      </w:pPr>
      <w:r>
        <w:rPr>
          <w:rFonts w:ascii="Calibri" w:hAnsi="Calibri"/>
          <w:b/>
          <w:color w:val="4A6B25"/>
          <w:sz w:val="20"/>
        </w:rPr>
        <w:t xml:space="preserve">2. </w:t>
      </w:r>
      <w:r>
        <w:rPr>
          <w:rFonts w:ascii="Calibri" w:hAnsi="Calibri"/>
          <w:b w:val="0"/>
          <w:color w:val="3A4A28"/>
          <w:sz w:val="20"/>
        </w:rPr>
        <w:t>SECURE 2.0 Act auto-enrollment provisions expanding 401(k) participation should increase Voya's workplace retirement plan assets under administration</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toward 30%+ as technology investments and acquisition integration drive efficiency gains across the 11,000-employee workforce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rounds of layoffs in H1 2026 and Glassdoor-documented leadership dysfunction could impair client-facing team stability and drive talent attrition at a critical competitive moment</w:t>
      </w:r>
    </w:p>
    <w:p>
      <w:pPr>
        <w:spacing w:before="40" w:after="40"/>
        <w:ind w:left="283"/>
      </w:pPr>
      <w:r>
        <w:rPr>
          <w:rFonts w:ascii="Calibri" w:hAnsi="Calibri"/>
          <w:b/>
          <w:color w:val="4A6B25"/>
          <w:sz w:val="20"/>
        </w:rPr>
        <w:t xml:space="preserve">2. </w:t>
      </w:r>
      <w:r>
        <w:rPr>
          <w:rFonts w:ascii="Calibri" w:hAnsi="Calibri"/>
          <w:b w:val="0"/>
          <w:color w:val="3A4A28"/>
          <w:sz w:val="20"/>
        </w:rPr>
        <w:t>Investment Management segment faces AI-driven commoditization of systematic and quantitative strategies, with Voya's own Machine Intelligence fund demonstrating the replicability of AI-based investment approaches</w:t>
      </w:r>
    </w:p>
    <w:p>
      <w:pPr>
        <w:spacing w:before="40" w:after="40"/>
        <w:ind w:left="283"/>
      </w:pPr>
      <w:r>
        <w:rPr>
          <w:rFonts w:ascii="Calibri" w:hAnsi="Calibri"/>
          <w:b/>
          <w:color w:val="4A6B25"/>
          <w:sz w:val="20"/>
        </w:rPr>
        <w:t xml:space="preserve">3. </w:t>
      </w:r>
      <w:r>
        <w:rPr>
          <w:rFonts w:ascii="Calibri" w:hAnsi="Calibri"/>
          <w:b w:val="0"/>
          <w:color w:val="3A4A28"/>
          <w:sz w:val="20"/>
        </w:rPr>
        <w:t>Revenue growth of 5-6% relies on market appreciation of AUM and employer headcount expansion — a sustained equity market correction would compress both fee income and operating margins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Voya's core retirement plan administration and workplace benefits businesses are protected by regulatory complexity (ERISA compliance, fiduciary obligations), employer switching costs, and the relationship-intensive nature of institutional sales [1]. AI cannot replace the regulatory infrastructure and fiduciary responsibilities embedded in retirement plan management. However, the Investment Management segment faces real AI disruption risk as algorithmic and AI-driven strategies become commoditized — Voya's own Machine Intelligence fund demonstrates that AI-based investment approaches are replicable by competitors [3]. Additionally, routine plan administration tasks (enrollment, reporting, compliance monitoring) are increasingly automatable, creating margin pressure on the operations side. AI Opportunity (1/1): The Machine Intelligence Dynamic Global Equity fund generates AUM-based revenue from an AI-driven investment strategy using Azure Databricks machine learning. Voya also uses AI internally for operational analytics and client servicing, representing quantifiable AI-enabled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 Financial Q2 2026 Earnings Release — voya.com, August 2026</w:t>
      </w:r>
    </w:p>
    <w:p>
      <w:pPr>
        <w:spacing w:before="20" w:after="20"/>
        <w:ind w:left="170"/>
      </w:pPr>
      <w:r>
        <w:rPr>
          <w:rFonts w:ascii="Calibri" w:hAnsi="Calibri"/>
          <w:b/>
          <w:color w:val="4A6B25"/>
          <w:sz w:val="15"/>
        </w:rPr>
        <w:t xml:space="preserve">2. </w:t>
      </w:r>
      <w:r>
        <w:rPr>
          <w:rFonts w:ascii="Calibri" w:hAnsi="Calibri"/>
          <w:b w:val="0"/>
          <w:color w:val="3A4A28"/>
          <w:sz w:val="17"/>
        </w:rPr>
        <w:t>Voya Financial Q1 2026 Results — investors.voya.com, May 2026</w:t>
      </w:r>
    </w:p>
    <w:p>
      <w:pPr>
        <w:spacing w:before="20" w:after="20"/>
        <w:ind w:left="170"/>
      </w:pPr>
      <w:r>
        <w:rPr>
          <w:rFonts w:ascii="Calibri" w:hAnsi="Calibri"/>
          <w:b/>
          <w:color w:val="4A6B25"/>
          <w:sz w:val="15"/>
        </w:rPr>
        <w:t xml:space="preserve">3. </w:t>
      </w:r>
      <w:r>
        <w:rPr>
          <w:rFonts w:ascii="Calibri" w:hAnsi="Calibri"/>
          <w:b w:val="0"/>
          <w:color w:val="3A4A28"/>
          <w:sz w:val="17"/>
        </w:rPr>
        <w:t>Voya Investment Management Machine Intelligence and AI Strategy — institutional.voya.com,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Voya Financial Culture, Leadership, and Employee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ESG Risk Rating — Voya Financial,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GuruFocus — VOYA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