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VTS</w:t>
      </w:r>
      <w:r>
        <w:rPr>
          <w:rFonts w:ascii="Calibri" w:hAnsi="Calibri"/>
          <w:b/>
          <w:color w:val="1A2010"/>
          <w:sz w:val="40"/>
        </w:rPr>
        <w:t xml:space="preserve">  Vitesse Energy, Inc.</w:t>
      </w:r>
    </w:p>
    <w:p>
      <w:pPr>
        <w:spacing w:after="120"/>
      </w:pPr>
      <w:r>
        <w:rPr>
          <w:rFonts w:ascii="Calibri" w:hAnsi="Calibri"/>
          <w:b/>
          <w:color w:val="6E8450"/>
          <w:sz w:val="18"/>
        </w:rPr>
        <w:t>GROWTH SLEEVE · 2026-08-21 · Inspire: 23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E&amp;P · NYSE · United States</w:t>
      </w:r>
    </w:p>
    <w:p>
      <w:pPr>
        <w:spacing w:after="80"/>
      </w:pPr>
      <w:r>
        <w:rPr>
          <w:rFonts w:ascii="Calibri" w:hAnsi="Calibri"/>
          <w:b w:val="0"/>
          <w:color w:val="3A4A28"/>
          <w:sz w:val="20"/>
        </w:rPr>
        <w:t>Vitesse Energy, Inc. acquires, develops, and produces non-operated oil and natural gas properties primarily in the Williston Basin of North Dakota and Montana, with additional interests in the Central Rockies (Denver-Julesburg and Powder River Basins). The company owns non-operated working interest and royalty interest positions covering 53,301 net acres across 7,800+ wells with 30 operators. Spun off from Jefferies Financial Group in January 2023. Q2 2026 production averaged 17,354 BOE/day (60% oil), with revenue of $91.0M and net income of $33.1M.</w:t>
      </w:r>
    </w:p>
    <w:p>
      <w:r>
        <w:rPr>
          <w:rFonts w:ascii="Calibri" w:hAnsi="Calibri"/>
          <w:b/>
          <w:color w:val="6E8450"/>
          <w:sz w:val="18"/>
        </w:rPr>
        <w:t>37 Employees · https://vitesse-vts.com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Vitesse completed the transformative Lucero Energy Corp. acquisition in March 2025, expanding its Williston Basin position and driving 34% production growth to 17,444 BOE/day in FY2025 [1]. Q2 2026 production averaged 17,354 BOE/day, up 9% sequentially. However, the core non-operated business model has not fundamentally changed since the 2014 founding. AI Deployment (0/2): No evidence of AI deployment. As a non-operator with 37 employees, the company relies on operating partners for drilling technology. The proprietary Luminis data system provides analytical well screening but is not AI in a meaningful sense [2]. Market Share (1/2): Vitesse holds a significant non-operated position with 67% of the 28 rigs operating in the Williston Basin drilling on its acreage, and 72% of year-to-date AFEs targeting high-return 3- and 4-mile extended laterals [1]. This concentration gives Vitesse meaningful basin exposure without operator risk. Pipeline (1/2): Proved reserves of 47.8 million BOE (71% proved developed) provide multi-year production visibility [1]. Full-year 2026 production guidance tightened to 16,300-17,200 BOE/day with specific quarterly targets and capital deployment visibility. R&amp;D Intensity (0/1): Not applicable — non-operated E&amp;P company with 37 employees.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Vitesse describes itself as a 'dividend-focused, data-driven oil company' — a financial value proposition rather than a mission [2]. The company exists to generate returns from non-operated oil and gas interests, with no articulated vision of a better future beyond capital returns. Community Impact (0/2): The company states commitment to 'support communities' in its ESG philosophy but no specific charitable programs, foundation activity, or quantified community investment were identified [3]. With only 37 employees and a non-operated model, the community footprint is inherently minimal. Employee Retention (1/2): After the turbulent March-May 2026 leadership transition (founder Gerrity resigned, Cree served as interim, Benard appointed CEO), the organization has stabilized under Benard's leadership with strong Q2 2026 operational execution [2]. The 37-person team and specialized data-driven culture suggest cohesion, but no retention metrics are available. Insider Buying (1/2): CEO Benard's compensation includes performance-based equity incentives tied to shareholder value creation, providing alignment [2]. However, no significant open-market insider purchases were identified during the leadership transition.</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Growth stock on available metrics. D/E of 25.5% is excellent with $158.8M debt against $623.9M equity (score 1.0) [5]. ROE is negative at -1.8% TTM due to impairment charges and one-time items in earlier quarters (score 0.0, 2x weight), though FY2025 operational ROE was 4.05% and Q2 2026 alone generated $33.1M net income on $623.9M equity [1]. Revenue grew 7.9% TTM to $259.0M (score 0.93), with 5-year revenue CAGR of approximately 8.4% from $181.5M (FY2021) to $250.6M (FY2025) (score 0.89, 2x weight). Profit margin TTM is -4.3% reflecting non-cash impairments (score 0.0), though Q2 2026 operating margin was 36.4% ($33.1M/$91.0M) [1]. Forward P/E and PEG unavailable, excluded. Weighted sum = (1x1.0 + 2x0.0 + 1x0.93 + 2x0.89 + 1x0.0) / 7 x 10 = 5.3, rounded to 5. Liquidity floor cleared: 579K avg vol x $17.16 = $9.9M [5]. Note: GAAP TTM metrics are distorted by one-time impairments; underlying operational profitability is significantly stronger as demonstrated by Q2 2026 results.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Vitesse operates with a fundamentally finite mindset — the company exists to monetize depleting oil and gas reserves and return capital to shareholders through dividends. The non-operated model, while capital-efficient, lacks the organizational depth and purpose required for infinite-game thinking. The founder CEO's departure in March 2026 disrupted continuity, though new CEO Benard has stabilized operations with a strong Q2 2026. The dividend cut from $0.563 to $0.438/quarter reflects commodity price vulnerability, and the 'dividend-first growth plan' language is explicitly about financial returns, not enduring purpose.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Vitesse's stated purpose is to generate shareholder returns through disciplined acquisition and ownership of non-operated oil and gas interests [1][2]. The company articulates a consistent 'dividend-first growth plan' but this is a financial objective, not a Just Cause. Providing reliable energy supply has implicit societal value, but management does not frame the business in those terms. The company exists to efficiently extract value from depleting natural resources and distribute cash to shareholders.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After the disruptive March-May 2026 leadership transition (founder Gerrity resigned, Cree interim, Benard appointed), the organization appears to have stabilized — Q2 2026 delivered $91.0M revenue and $33.1M net income, a strong operational performance under Benard's leadership [1][2]. The 37-person team is specialized in data-driven oil and gas acquisition, suggesting a cohesive, expert-driven culture. However, having three CEOs in three months created genuine organizational disruption, and no employee satisfaction or retention data is available to confirm cultural health.</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 worthy-rival mindset. Vitesse's competitive communications focus on structural advantages of its non-operated model versus operated E&amp;P companies rather than learning from competitors' strengths [2]. Competition occurs on capital allocation and acquisition pricing — inherently finite, transactional dynamics.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March 2025 Lucero Energy acquisition expanded Vitesse from pure Williston Basin focus into Central Rockies diversification, growing proved reserves 19% to 47.8 million BOE [1]. The January 2023 spin-off from Jefferies Financial Group demonstrated ability to transform corporate structure. However, the core strategy (non-operated oil and gas interests) has remained constant — the company has not fundamentally reinvented its business model.</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Vitesse distributed $92.1 million in dividends during 2025 while simultaneously deploying capital for the Lucero acquisition, balancing shareholder returns with growth [1]. The Q1 2026 dividend cut from $0.563 to $0.438/quarter was a disciplined but painful decision that prioritized long-term sustainability over short-term yield attraction. However, this was forced by commodity price reality rather than a courageous strategic choice, and the company's primary narrative remains about financial returns rather than long-term capability building.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Vitesse Energy offers a differentiated, capital-light approach to Williston Basin oil exposure through its non-operated model — 37 employees manage 53,301 net acres producing 17,354 BOE/day with 60% oil mix [1]. Q2 2026 was exceptional: revenue of $91.0M (+11.3% YoY), net income of $33.1M, and diluted EPS of $0.77 significantly beat consensus estimates [1]. The 10.2% dividend yield ($1.75 annualized, 15 consecutive quarterly payments) provides substantial income while the stock trades 37% below its 52-week high of $27.15 at $17.16 [5]. D/E of only 25.5% provides balance sheet conservatism, and proved reserves of 47.8 million BOE (71% proved developed) offer multi-year production visibility. Analyst consensus is Buy with a $21.25 price target (24% upside) [5]. New CEO Jamie Benard has demonstrated strong operational execution in Q2 2026.</w:t>
      </w:r>
    </w:p>
    <w:p>
      <w:pPr>
        <w:spacing w:after="120"/>
      </w:pPr>
      <w:r>
        <w:rPr>
          <w:rFonts w:ascii="Calibri" w:hAnsi="Calibri"/>
          <w:b w:val="0"/>
          <w:color w:val="3A4A28"/>
          <w:sz w:val="20"/>
        </w:rPr>
        <w:t>The bear case centers on commodity risk, dividend sustainability, and structural limitations. The 10.2% dividend yield looks attractive but the payout ratio relative to GAAP earnings is unsustainable at 273% — the company funds distributions from cash flow rather than earnings, and a sustained decline in oil prices below $55/bbl could force further dividend cuts beyond the 22% reduction already implemented in Q1 2026 [1][5]. TTM net income is -$11.25M despite the strong Q2, indicating that Q3/Q4 2025 and Q1 2026 included significant impairments or losses tied to commodity price swings [5]. The non-operated model means Vitesse has zero control over drilling decisions, well spacing, or technology adoption — it is entirely dependent on third-party operators' capital allocation. The March 2026 leadership crisis (three CEOs in three months) raises governance concerns, though operations appear stabilized under Benard. The 5-year revenue trajectory is volatile ($181M → $258M → $212M → $221M → $251M → $259M TTM), reflecting commodity sensitivity rather than secular growth. The Inspire Impact Score of 23 (MIXED) with only 3 positive attributions and zero negative is neutral for faith-aligned investors.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Q2 2026 beat with $91.0M revenue (+11.3%), $33.1M net income, and EPS of $0.77 significantly exceeding consensus demonstrates strong operational execution under new CEO Benard [1]</w:t>
      </w:r>
    </w:p>
    <w:p>
      <w:pPr>
        <w:spacing w:before="40" w:after="40"/>
        <w:ind w:left="283"/>
      </w:pPr>
      <w:r>
        <w:rPr>
          <w:rFonts w:ascii="Calibri" w:hAnsi="Calibri"/>
          <w:b/>
          <w:color w:val="4A6B25"/>
          <w:sz w:val="20"/>
        </w:rPr>
        <w:t xml:space="preserve">2. </w:t>
      </w:r>
      <w:r>
        <w:rPr>
          <w:rFonts w:ascii="Calibri" w:hAnsi="Calibri"/>
          <w:b w:val="0"/>
          <w:color w:val="3A4A28"/>
          <w:sz w:val="20"/>
        </w:rPr>
        <w:t>10.2% dividend yield with 15 consecutive quarterly payments provides substantial income at current prices, with potential for yield compression (price appreciation) if commodity prices stabilize and confidence in sustainability grows [5]</w:t>
      </w:r>
    </w:p>
    <w:p>
      <w:pPr>
        <w:spacing w:before="40" w:after="40"/>
        <w:ind w:left="283"/>
      </w:pPr>
      <w:r>
        <w:rPr>
          <w:rFonts w:ascii="Calibri" w:hAnsi="Calibri"/>
          <w:b/>
          <w:color w:val="4A6B25"/>
          <w:sz w:val="20"/>
        </w:rPr>
        <w:t xml:space="preserve">3. </w:t>
      </w:r>
      <w:r>
        <w:rPr>
          <w:rFonts w:ascii="Calibri" w:hAnsi="Calibri"/>
          <w:b w:val="0"/>
          <w:color w:val="3A4A28"/>
          <w:sz w:val="20"/>
        </w:rPr>
        <w:t>47.8 million BOE proved reserves (71% proved developed) and production of 17,354 BOE/day with 60% oil mix provide multi-year visibility, with analyst Buy consensus and $21.25 target representing 24% upside [1][5]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Dividend sustainability risk — 273% payout ratio relative to GAAP earnings means distributions depend on cash flow exceeding net income via depreciation/depletion, and a sustained oil price decline below $55/bbl could force further cuts beyond the 22% already implemented [1][5]</w:t>
      </w:r>
    </w:p>
    <w:p>
      <w:pPr>
        <w:spacing w:before="40" w:after="40"/>
        <w:ind w:left="283"/>
      </w:pPr>
      <w:r>
        <w:rPr>
          <w:rFonts w:ascii="Calibri" w:hAnsi="Calibri"/>
          <w:b/>
          <w:color w:val="4A6B25"/>
          <w:sz w:val="20"/>
        </w:rPr>
        <w:t xml:space="preserve">2. </w:t>
      </w:r>
      <w:r>
        <w:rPr>
          <w:rFonts w:ascii="Calibri" w:hAnsi="Calibri"/>
          <w:b w:val="0"/>
          <w:color w:val="3A4A28"/>
          <w:sz w:val="20"/>
        </w:rPr>
        <w:t>Non-operated model dependency — Vitesse has zero control over drilling pace, well spacing, or technology adoption by its 30 operating partners, creating fundamental execution risk that management cannot mitigate regardless of quality [1]</w:t>
      </w:r>
    </w:p>
    <w:p>
      <w:pPr>
        <w:spacing w:before="40" w:after="40"/>
        <w:ind w:left="283"/>
      </w:pPr>
      <w:r>
        <w:rPr>
          <w:rFonts w:ascii="Calibri" w:hAnsi="Calibri"/>
          <w:b/>
          <w:color w:val="4A6B25"/>
          <w:sz w:val="20"/>
        </w:rPr>
        <w:t xml:space="preserve">3. </w:t>
      </w:r>
      <w:r>
        <w:rPr>
          <w:rFonts w:ascii="Calibri" w:hAnsi="Calibri"/>
          <w:b w:val="0"/>
          <w:color w:val="3A4A28"/>
          <w:sz w:val="20"/>
        </w:rPr>
        <w:t>TTM net income is -$11.25M despite the strong Q2 2026, indicating significant impairments or losses in prior quarters tied to commodity price volatility — GAAP profitability remains inconsistent and unpredictable for an oil-price-dependent business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Vitesse's business — owning non-operated working interests and royalties in physical oil and gas wells — is fundamentally immune to AI disruption [1]. Oil and gas extraction is a physical-world operation requiring drilling rigs, wellbore engineering, and geological formations that AI cannot replicate or replace. AI infrastructure (data centers) is driving incremental electricity demand, supporting natural gas prices and indirectly benefiting Vitesse's production economics. The non-operated model adds insulation — Vitesse's value comes from mineral rights ownership and financial participation in well economics, not operational processes that could be automated. Scored 8 rather than 9 because AI-driven analytics could reduce Vitesse's screening advantage if competitors adopt similar data-driven well selection tools. AI Opportunity (0/1): Vitesse generates no AI revenue and has no AI products. As a 37-person non-operator, the company does not develop technology.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23</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Vitesse Energy Q2 2026 Earnings Release — Revenue $91.0M, net income $33.1M, EPS $0.77, production 17,354 BOE/day, Stock Titan / Alphastreet, August 2026</w:t>
      </w:r>
    </w:p>
    <w:p>
      <w:pPr>
        <w:spacing w:before="20" w:after="20"/>
        <w:ind w:left="170"/>
      </w:pPr>
      <w:r>
        <w:rPr>
          <w:rFonts w:ascii="Calibri" w:hAnsi="Calibri"/>
          <w:b/>
          <w:color w:val="4A6B25"/>
          <w:sz w:val="15"/>
        </w:rPr>
        <w:t xml:space="preserve">2. </w:t>
      </w:r>
      <w:r>
        <w:rPr>
          <w:rFonts w:ascii="Calibri" w:hAnsi="Calibri"/>
          <w:b w:val="0"/>
          <w:color w:val="3A4A28"/>
          <w:sz w:val="17"/>
        </w:rPr>
        <w:t>Vitesse Energy Corporate Website and EnerCom Denver Conference — dividend-first growth plan, leadership transition, Luminis data system, CEO Benard appointment, Investing.com, 2026</w:t>
      </w:r>
    </w:p>
    <w:p>
      <w:pPr>
        <w:spacing w:before="20" w:after="20"/>
        <w:ind w:left="170"/>
      </w:pPr>
      <w:r>
        <w:rPr>
          <w:rFonts w:ascii="Calibri" w:hAnsi="Calibri"/>
          <w:b/>
          <w:color w:val="4A6B25"/>
          <w:sz w:val="15"/>
        </w:rPr>
        <w:t xml:space="preserve">3. </w:t>
      </w:r>
      <w:r>
        <w:rPr>
          <w:rFonts w:ascii="Calibri" w:hAnsi="Calibri"/>
          <w:b w:val="0"/>
          <w:color w:val="3A4A28"/>
          <w:sz w:val="17"/>
        </w:rPr>
        <w:t>Vitesse Energy ESG Commitment and Annual Report — environmental philosophy, community support, regulatory compliance, SEC filings, 2025-2026</w:t>
      </w:r>
    </w:p>
    <w:p>
      <w:pPr>
        <w:spacing w:before="20" w:after="20"/>
        <w:ind w:left="170"/>
      </w:pPr>
      <w:r>
        <w:rPr>
          <w:rFonts w:ascii="Calibri" w:hAnsi="Calibri"/>
          <w:b/>
          <w:color w:val="4A6B25"/>
          <w:sz w:val="15"/>
        </w:rPr>
        <w:t xml:space="preserve">4. </w:t>
      </w:r>
      <w:r>
        <w:rPr>
          <w:rFonts w:ascii="Calibri" w:hAnsi="Calibri"/>
          <w:b w:val="0"/>
          <w:color w:val="3A4A28"/>
          <w:sz w:val="17"/>
        </w:rPr>
        <w:t>Kalkine Media / Simply Wall St — Dividend sustainability debate, forecast revisions, leadership analysis, August 2026</w:t>
      </w:r>
    </w:p>
    <w:p>
      <w:pPr>
        <w:spacing w:before="20" w:after="20"/>
        <w:ind w:left="170"/>
      </w:pPr>
      <w:r>
        <w:rPr>
          <w:rFonts w:ascii="Calibri" w:hAnsi="Calibri"/>
          <w:b/>
          <w:color w:val="4A6B25"/>
          <w:sz w:val="15"/>
        </w:rPr>
        <w:t xml:space="preserve">5. </w:t>
      </w:r>
      <w:r>
        <w:rPr>
          <w:rFonts w:ascii="Calibri" w:hAnsi="Calibri"/>
          <w:b w:val="0"/>
          <w:color w:val="3A4A28"/>
          <w:sz w:val="17"/>
        </w:rPr>
        <w:t>StockAnalysis.com — VTS Stock Price $17.16, Market Cap $722.5M, Avg Volume 579K, Dividend $1.75 (10.2%),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