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w:t>
      </w:r>
      <w:r>
        <w:rPr>
          <w:rFonts w:ascii="Calibri" w:hAnsi="Calibri"/>
          <w:b/>
          <w:color w:val="1A2010"/>
          <w:sz w:val="40"/>
        </w:rPr>
        <w:t xml:space="preserve">  Visa Inc.</w:t>
      </w:r>
    </w:p>
    <w:p>
      <w:pPr>
        <w:spacing w:after="120"/>
      </w:pPr>
      <w:r>
        <w:rPr>
          <w:rFonts w:ascii="Calibri" w:hAnsi="Calibri"/>
          <w:b/>
          <w:color w:val="6E8450"/>
          <w:sz w:val="18"/>
        </w:rPr>
        <w:t>GROWTH SLEEVE · 2026-08-24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Payment Processing / Diversified Financial Services · NYSE · United States</w:t>
      </w:r>
    </w:p>
    <w:p>
      <w:pPr>
        <w:spacing w:after="80"/>
      </w:pPr>
      <w:r>
        <w:rPr>
          <w:rFonts w:ascii="Calibri" w:hAnsi="Calibri"/>
          <w:b w:val="0"/>
          <w:color w:val="3A4A28"/>
          <w:sz w:val="20"/>
        </w:rPr>
        <w:t>Visa operates the world's largest card payments network, processing transactions for roughly 14,500 financial institution clients and merchants globally. Under CEO Ryan McInerney, the company reported record Q3 FY2026 net revenue of $11.6B (+14% YoY) as quarterly payments volume crossed $4 trillion for the first time, with value-added services (about 30% of total revenue) up 34% YoY to $3.8B on commercial payments, Visa Direct, and the Prisma acquisition. Visa is aggressively repositioning around stablecoins and agentic commerce — running more than 160 stablecoin-linked card programs with volume up nearly 200% YoY and stablecoin settlement running at a $7B annualized pace — while simultaneously cutting about 2,600 jobs (7% of its workforce) in July 2026, citing AI-driven efficiency gains and reinvestment into these new growth areas.</w:t>
      </w:r>
    </w:p>
    <w:p>
      <w:r>
        <w:rPr>
          <w:rFonts w:ascii="Calibri" w:hAnsi="Calibri"/>
          <w:b/>
          <w:color w:val="6E8450"/>
          <w:sz w:val="18"/>
        </w:rPr>
        <w:t>33,200 Employees · https://www.visa.com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Visa has executed a genuine strategic reinvention in the past two years, building stablecoin settlement rails and agentic-commerce infrastructure that could ultimately cannibalize its own toll-collecting card model, while value-added services grew to ~30% of total revenue (+34% YoY to $3.8B) via the Prisma acquisition and Visa Direct expansion [1][2]. AI Deployment (2/2): AI is driving both internal automation (attributed as a significant factor in the July 2026 restructuring that cut 2,600 roles) and external product capability, with management stating AI 'only strengthens' the competitive advantages of its value-added services business [2]. Market Share (2/2): Visa is the dominant global card network, crossing $4 trillion in quarterly payments volume for the first time and serving roughly 14,500 financial institution clients — clear category leadership with specific, cited figures [1]. Product Pipeline (2/2): Stablecoin-linked card programs (160+, volume up ~200% YoY) and a $7B annualized stablecoin settlement run-rate (up &gt;50% quarter-over-quarter) give concrete, quantified near-term product visibility [2]. R&amp;D Intensity (0/1): No specific R&amp;D-to-revenue disclosure was found for comparison against payments-industry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Visa's purpose — to 'uplift everyone, everywhere by being the best way to pay and be paid' — is specific and connects the business to global financial inclusion, and it has been partially validated by execution: Visa met its goal of providing 500 million unbanked and underserved people access to digital payment accounts by 2020 [3]. Community Impact (2/2): The Visa Foundation funds nonprofits and credit unions specifically targeting financially excluded populations, building on the completed 500-million-person inclusion milestone — a distinctive, measurable program rather than generic philanthropy [3]. Employee Retention (0/2): The July 2026 cut of 2,600 roles (7% of the workforce), with public criticism of leadership's transparency around the AI framing of the cuts, is a clear negative signal for organizational stability in the current period [2]. Insider Buying (0/2): CEO Ryan McInerney has made 39 sell transactions and zero purchases over the trailing 5 years, including option-exercise-and-sell transactions in April, June, and July 2026 totaling millions of dollars — a clear pattern of net insider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D/E of 68% (0.68), ROE of 61.19%, revenue growth YoY of 14%, and revenue growth 5-year CAGR of roughly 13% all clear their targets (scoring 1.0 each), and profit margin of 50.78% is more than double its 20% target (capped at 1.0) [5]. Forward P/E of 21.99 sits just above the 20x target (scoring 0.95), and Forward PEG of 1.68 is above the 1.0 target but well inside the 3.0 floor (scoring 0.66, 2x weight). The stock clears the liquidity floor overwhelmingly (~$2.6B+ in daily dollar volume on ~7.15M average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Visa's purpose — uplifting everyone, everywhere through financial access, validated by the completed 500-million-person unbanked inclusion goal — has real Sinek-style substance, and McInerney's willingness to build stablecoin infrastructure that could cannibalize Visa's own toll-collecting model shows a degree of existential courage. But the July 2026 layoffs, criticized for their handling and transparency, and a leadership team that has been almost purely a net seller of its own stock, pull the overall posture back toward finite-game territory in the current period.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Visa's stated purpose of uplifting 'everyone, everywhere' through financial inclusion is genuine and partially lived — the company achieved its concrete goal of bringing 500 million unbanked people into the digital financial system by 2020 and continues funding inclusion work through the Visa Foundation [3]. It has not, however, been tested by an existential crisis in the way Sinek's highest-tier examples have, and current strategic language (stablecoins, agentic commerce) is framed primarily in growth and competitive terms rather than explicitly through the inclusion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July 2026 cut of 2,600 roles (7% of the workforce), concentrated in technology and product teams and attributed significantly to AI, drew public criticism (including a CEOWORLD piece specifically faulting McInerney's memo for lacking transparency) — a clear signal of strained organizational trust in the current period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Visa framing Mastercard or emerging stablecoin/fintech rails as worthy rivals that sharpen its own execution; competitive and legal posture (ongoing interchange-fee antitrust litigation with merchants) is defensive rather than collaborative-competitive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Building proprietary stablecoin settlement rails and an agentic-commerce strategy is a real bet that could cannibalize Visa's legacy interchange-fee revenue model, showing willingness to disrupt its own toll-booth business before being disrupted by outside players [2]. This is meaningful adaptation but is not yet the scale of a full business-model reinvention — card-network economics still drive the great majority of revenue today.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McInerney's public, direct commitment to stablecoins and agentic commerce as strategic pillars — reinvesting savings from a 2,600-person restructuring into these unproven-at-scale growth areas rather than simply defending the existing card-network cash cow — reflects a willingness to prioritize long-term relevance over near-term comfort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Visa is a dominant, high-margin network business executing a credible offensive pivot into stablecoins and agentic commerce rather than waiting to be disrupted by them — Q3 FY2026 net revenue grew 14% YoY to $11.6B on record $4 trillion in quarterly payments volume, with value-added services (~30% of revenue) up 34% YoY to $3.8B [1]. ROE of 61.19% and profit margin of 50.78% reflect exceptional network economics, D/E of 68% is conservative for the cash generation involved, and management raised full-year guidance to the low end of mid-teens EPS growth. The stablecoin settlement business, now running at a $7B annualized pace and up more than 50% in a single quarter, gives Visa a credible toehold in the payments-rail technology many feared would disintermediate it [2].</w:t>
      </w:r>
    </w:p>
    <w:p>
      <w:pPr>
        <w:spacing w:after="120"/>
      </w:pPr>
      <w:r>
        <w:rPr>
          <w:rFonts w:ascii="Calibri" w:hAnsi="Calibri"/>
          <w:b w:val="0"/>
          <w:color w:val="3A4A28"/>
          <w:sz w:val="20"/>
        </w:rPr>
        <w:t>The bear case centers on valuation, governance signals, and litigation risk: Forward P/E of 21.99x and a Forward PEG of 1.68 price in continued double-digit growth, and CEO McInerney has been a purely net seller of Visa stock — 39 sales and zero purchases over five years, including multiple option-exercise-and-sell transactions in 2026 — offering no insider-conviction signal at current levels [4]. The July 2026 cut of 2,600 jobs (7% of the workforce), framed around AI efficiency, drew public criticism over leadership transparency and represents a real near-term hit to organizational trust. Visa also faces an expanding wave of merchant and consumer antitrust litigation over interchange fees in both the U.S. and UK, with a proposed settlement itself under attack from consumer and merchant advocacy groups as insufficiently protective — an overhang that could pressure fee economics over a multi-year horizon [6]. The Inspire Impact Score of -62 (MISALIGNED, driven by an Exploitation flag) may limit allocation for faith-based investors despite otherwise broad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scaling of stablecoin settlement volume (currently a $7B annualized run-rate, up &gt;50% quarter-over-quarter) toward the financial returns McInerney says Visa expects to match its existing card-network economics [2]</w:t>
      </w:r>
    </w:p>
    <w:p>
      <w:pPr>
        <w:spacing w:before="40" w:after="40"/>
        <w:ind w:left="283"/>
      </w:pPr>
      <w:r>
        <w:rPr>
          <w:rFonts w:ascii="Calibri" w:hAnsi="Calibri"/>
          <w:b/>
          <w:color w:val="4A6B25"/>
          <w:sz w:val="20"/>
        </w:rPr>
        <w:t xml:space="preserve">2. </w:t>
      </w:r>
      <w:r>
        <w:rPr>
          <w:rFonts w:ascii="Calibri" w:hAnsi="Calibri"/>
          <w:b w:val="0"/>
          <w:color w:val="3A4A28"/>
          <w:sz w:val="20"/>
        </w:rPr>
        <w:t>Value-added services (already ~30% of revenue, +34% YoY) continuing to outgrow the core network business, which would support both revenue growth and margin mix over time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interchange-fee antitrust litigation on terms that preserve Visa's fee economics, removing a multi-year legal overhang on the stock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and expanding interchange-fee antitrust litigation in both the U.S. and UK, with even the proposed settlement facing pushback from consumer and merchant groups as inadequate, creates multi-year fee-structure uncertainty [6]</w:t>
      </w:r>
    </w:p>
    <w:p>
      <w:pPr>
        <w:spacing w:before="40" w:after="40"/>
        <w:ind w:left="283"/>
      </w:pPr>
      <w:r>
        <w:rPr>
          <w:rFonts w:ascii="Calibri" w:hAnsi="Calibri"/>
          <w:b/>
          <w:color w:val="4A6B25"/>
          <w:sz w:val="20"/>
        </w:rPr>
        <w:t xml:space="preserve">2. </w:t>
      </w:r>
      <w:r>
        <w:rPr>
          <w:rFonts w:ascii="Calibri" w:hAnsi="Calibri"/>
          <w:b w:val="0"/>
          <w:color w:val="3A4A28"/>
          <w:sz w:val="20"/>
        </w:rPr>
        <w:t>Stablecoin and agentic-commerce rails could eventually route payment volume around traditional card networks entirely if Visa's own stablecoin bets do not capture that share, turning today's offensive strategy into a slower-motion disintermediation</w:t>
      </w:r>
    </w:p>
    <w:p>
      <w:pPr>
        <w:spacing w:before="40" w:after="40"/>
        <w:ind w:left="283"/>
      </w:pPr>
      <w:r>
        <w:rPr>
          <w:rFonts w:ascii="Calibri" w:hAnsi="Calibri"/>
          <w:b/>
          <w:color w:val="4A6B25"/>
          <w:sz w:val="20"/>
        </w:rPr>
        <w:t xml:space="preserve">3. </w:t>
      </w:r>
      <w:r>
        <w:rPr>
          <w:rFonts w:ascii="Calibri" w:hAnsi="Calibri"/>
          <w:b w:val="0"/>
          <w:color w:val="3A4A28"/>
          <w:sz w:val="20"/>
        </w:rPr>
        <w:t>CEO's exclusively net-selling insider trading pattern (39 sales, 0 purchases over 5 years) combined with premium valuation (Forward P/E ~22x) offers no management-conviction cushion if growth decelerates from the current mid-teens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Visa's network effects — 14,500 financial institution relationships, merchant acceptance at global scale, and regulatory-grade payment rails — create high switching costs that AI software alone cannot replicate. The clearest structural threat, stablecoin- and blockchain-based disintermediation of card networks, is one Visa is proactively neutralizing by building its own stablecoin settlement infrastructure (160+ card programs, $7B annualized settlement run-rate) rather than being displaced by it [2]. Some risk remains if agentic-commerce or stablecoin rails eventually route volume around Visa entirely, which is why this scores PROTECTED rather than fully IMMUNE. AI Opportunity (1/1): Value-added services, which management explicitly ties to AI-strengthened competitive advantage, grew 34% YoY to $3.8B and now represent roughly 30% of total company revenue — a large, quantified AI-linked revenue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Investing.com / Tickeron / Yahoo Finance — Visa Q3 FY2026 Earnings: net revenue $11.6B (+14% YoY), payments volume $4T milestone, value-added services $3.8B (+34% YoY), guidance raised, July-August 2026</w:t>
      </w:r>
    </w:p>
    <w:p>
      <w:pPr>
        <w:spacing w:before="20" w:after="20"/>
        <w:ind w:left="170"/>
      </w:pPr>
      <w:r>
        <w:rPr>
          <w:rFonts w:ascii="Calibri" w:hAnsi="Calibri"/>
          <w:b/>
          <w:color w:val="4A6B25"/>
          <w:sz w:val="15"/>
        </w:rPr>
        <w:t xml:space="preserve">2. </w:t>
      </w:r>
      <w:r>
        <w:rPr>
          <w:rFonts w:ascii="Calibri" w:hAnsi="Calibri"/>
          <w:b w:val="0"/>
          <w:color w:val="3A4A28"/>
          <w:sz w:val="17"/>
        </w:rPr>
        <w:t>TechTimes / PaymentsDive / TheStreet — 'Visa Cuts 2,600 Tech Jobs: AI Gets the Credit, but Stablecoins Drive the Pivot'; 'Visa CEO envisions stablecoin, agentic benefit'; CEOWORLD critique of McInerney's AI-layoffs memo, July-August 2026</w:t>
      </w:r>
    </w:p>
    <w:p>
      <w:pPr>
        <w:spacing w:before="20" w:after="20"/>
        <w:ind w:left="170"/>
      </w:pPr>
      <w:r>
        <w:rPr>
          <w:rFonts w:ascii="Calibri" w:hAnsi="Calibri"/>
          <w:b/>
          <w:color w:val="4A6B25"/>
          <w:sz w:val="15"/>
        </w:rPr>
        <w:t xml:space="preserve">3. </w:t>
      </w:r>
      <w:r>
        <w:rPr>
          <w:rFonts w:ascii="Calibri" w:hAnsi="Calibri"/>
          <w:b w:val="0"/>
          <w:color w:val="3A4A28"/>
          <w:sz w:val="17"/>
        </w:rPr>
        <w:t>corporate.visa.com — Visa Foundation and Purpose pages ('uplift everyone, everywhere'; 500 million unbanked goal met by 2020),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GuruFocus / StockTitan / Investing.com / MarketBeat — Ryan McInerney Form 4 insider trading activity (39 sells, 0 buys over 5 years),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FinanceCharts.com, GuruFocus, FullRatio — Visa Statistics &amp; Valuation: D/E 68%, ROE 61.19%, profit margin 50.78%, Forward P/E 21.99, PEG 1.68, revenue history 2021-2026,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PaymentsDive / Wikipedia — Payment card interchange fee and merchant discount antitrust litigation; 'Visa, Mastercard face new suit over card fees', 2026</w:t>
      </w:r>
    </w:p>
    <w:p>
      <w:pPr>
        <w:spacing w:before="20" w:after="20"/>
        <w:ind w:left="170"/>
      </w:pPr>
      <w:r>
        <w:rPr>
          <w:rFonts w:ascii="Calibri" w:hAnsi="Calibri"/>
          <w:b/>
          <w:color w:val="4A6B25"/>
          <w:sz w:val="15"/>
        </w:rPr>
        <w:t xml:space="preserve">7. </w:t>
      </w:r>
      <w:r>
        <w:rPr>
          <w:rFonts w:ascii="Calibri" w:hAnsi="Calibri"/>
          <w:b w:val="0"/>
          <w:color w:val="3A4A28"/>
          <w:sz w:val="17"/>
        </w:rPr>
        <w:t>Revelio Labs / CNBC — Visa employee headcount (~34,100 pre-layoff, ~2,600 cut in July 2026),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