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WCN</w:t>
      </w:r>
      <w:r>
        <w:rPr>
          <w:rFonts w:ascii="Calibri" w:hAnsi="Calibri"/>
          <w:b/>
          <w:color w:val="1A2010"/>
          <w:sz w:val="40"/>
        </w:rPr>
        <w:t xml:space="preserve">  Waste Connections, Inc.</w:t>
      </w:r>
    </w:p>
    <w:p>
      <w:pPr>
        <w:spacing w:after="120"/>
      </w:pPr>
      <w:r>
        <w:rPr>
          <w:rFonts w:ascii="Calibri" w:hAnsi="Calibri"/>
          <w:b/>
          <w:color w:val="6E8450"/>
          <w:sz w:val="18"/>
        </w:rPr>
        <w:t>GROWTH SLEEVE · 2026-07-26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Waste Management · NYSE · United States</w:t>
      </w:r>
    </w:p>
    <w:p>
      <w:pPr>
        <w:spacing w:after="80"/>
      </w:pPr>
      <w:r>
        <w:rPr>
          <w:rFonts w:ascii="Calibri" w:hAnsi="Calibri"/>
          <w:b w:val="0"/>
          <w:color w:val="3A4A28"/>
          <w:sz w:val="20"/>
        </w:rPr>
        <w:t>Waste Connections, Inc. is the third-largest solid waste services company in North America, providing non-hazardous waste collection, transfer, disposal, recycling, and renewable natural gas (RNG) generation services across the United States and Canada. The company operates a network of collection operations, transfer stations, landfills, recycling facilities, and RNG plants. Known for its servant leadership culture and decentralized operating model focused on exclusive and secondary markets with limited competition. Deploying $100M across seven enterprise AI initiatives for pricing, routing, and operational optimization. Founded in 1997, headquartered in The Woodlands, Texas.</w:t>
      </w:r>
    </w:p>
    <w:p>
      <w:r>
        <w:rPr>
          <w:rFonts w:ascii="Calibri" w:hAnsi="Calibri"/>
          <w:b/>
          <w:color w:val="6E8450"/>
          <w:sz w:val="18"/>
        </w:rPr>
        <w:t>25,000 Employees · https://www.wasteconnections.com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Waste Connections has expanded primarily through disciplined M&amp;A (acquiring over 200 companies since founding) rather than product innovation — the core business of waste collection and landfill disposal has not fundamentally changed, though the company has added RNG generation and recycling capabilities [1][4]. AI Deployment (2/2): CEO Mittelstaedt signed off on $100M for seven enterprise AI initiatives, with pricing and routing AI already deployed: pricing AI was deployed in 2025 and routing AI launched in 2026, transitioning from static to real-time routing using internal AI software integrated with Google Maps, Waze, weather data, and traffic feeds — specific, quantified AI deployment with operational impact [3]. Market Share (1/2): Third-largest waste services company in North America behind Waste Management and Republic Services, with a differentiated strategy targeting exclusive and secondary markets with limited competition — a meaningful but not dominant position [1]. Product Pipeline (1/2): Five additional enterprise AI initiatives beyond pricing and routing are in the pipeline, plus continued M&amp;A with a robust acquisition pipeline targeting $500M+ in annual acquired revenue. RNG expansion provides adjacent growth [1][3]. R&amp;D Intensity (0/1): Waste management is not a traditional R&amp;D-intensive industry; the $100M AI investment is operational technology, not product R&amp;D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Waste Connections' culture centers on servant leadership — 'every leader here practices Servant Leadership and sticks to the company values' — and the 2024 Sustainability Report frames the company's purpose as 'Connect with the Sustainable Future.' The servant leadership philosophy is genuine and shapes behavior, but the mission statement itself is not deeply distinctive or inspiring beyond the industry [3][4]. Community Impact (1/2): Named 2025 Best Company in Career Growth, Compensation, Culture, Leadership, and CEO. Glassdoor reviews describe a 'Mom and Pop culture with the resources of a multi-billion dollar corporation' [3]. Sustainability report highlights 41% emissions intensity improvement since 2019 with operational offsets exceeding emissions by 4x [4]. However, no specific dollar amounts for community programs were cited. Employee Retention (1/2): Multiple 'Best Company' awards for culture and leadership, with Glassdoor reviews specifically citing servant leadership and employee care as reasons people stay. The decentralized operating model empowers local managers [3]. Insider Buying (0/2): No specific insider buying data was identified in 2026 filings for CEO Mittelstaedt or other executives [6].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Q2 2026 revenue of $2.562B (up 6.4% YoY) with adjusted EBITDA margin expanding to 32.8% and adjusted EPS of $1.50 (up 16.3% YoY) demonstrate operational strength [1]. The 5-year revenue CAGR of ~12.7% (from ~$5.2B in 2020 to $9.5B in 2025) exceeds the 10% target, driven by organic growth plus acquisitions. D/E of 117.1% is elevated but manageable for a capital-intensive waste business with predictable cash flows. ROE of 13.12% approaches but falls short of the 15% target. Profit margin of 10.97% is below the 20% target, reflecting the asset-heavy nature of waste operations. Forward P/E of 31.54 and estimated PEG of ~2.5 reflect premium valuation. Dividend payout ratio of 23.6% is well-managed, with 8 consecutive years of dividend growth at 11.26% CAGR, though the 0.78% yield is below the 2% threshold for dividend sleeve [1][5][6].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Waste Connections is one of the most culturally distinctive companies in its industry, with a servant leadership philosophy that genuinely shapes how the organization operates — from local manager empowerment to the consistent Glassdoor praise for employee care. The 29-year track record of disciplined execution, decentralized operations, and sustainability commitment demonstrates infinite-game qualities. However, the core business of waste collection is inherently transactional rather than purpose-driven in Sinek's sense, and the company's growth engine is primarily M&amp;A rather than organic innovation.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Waste Connections' servant leadership philosophy represents a genuine organizational purpose that goes beyond profit maximization — 'every leader here practices Servant Leadership and sticks to the company values' is not marketing copy but operational reality reflected in multiple Best Company awards [3]. The sustainability mission ('Connect with the Sustainable Future') adds purpose, with 41% emissions intensity reduction since 2019 and operational offsets exceeding emissions by 4x [4]. However, waste collection is fundamentally a municipal service rather than a vision of a better future, limiting the score below the transformative level.</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Waste Connections demonstrates the highest level of organizational trust in IOWN coverage. Named 2025 Best Company for Culture, Leadership, and CEO. Glassdoor reviews consistently describe servant leadership in practice: 'every leader here practices Servant Leadership,' 'Mom and Pop culture with resources of a multi-billion dollar corporation,' leaders 'really care about employees and are here to do whatever they can to make them successful' [3]. The decentralized operating model explicitly empowers local managers with autonomy, creating psychological safety and ownership at every level.</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Waste Connections explicitly differentiates itself through market selection strategy (exclusive and secondary markets) rather than aggressive competition against Waste Management and Republic Services. The company's competitive language focuses on operational excellence and cultural differentiation rather than defeating rivals, consistent with an infinite competitive mindset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Waste Connections has incrementally evolved from pure waste collection to include recycling, renewable natural gas (RNG) generation, and AI-driven operations — meaningful but incremental adaptations rather than transformative reinvention. The $100M AI investment represents operational evolution within the same business model. The company's 200+ acquisitions have expanded geographic reach and service capabilities without fundamentally changing what the business does [1][3].</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$100M commitment to seven enterprise AI initiatives in 2024-2026 demonstrates willingness to invest in long-term operational capability. The company's consistent focus on exclusive and secondary markets — deliberately avoiding head-to-head competition in major metros — reflects a disciplined, principled approach to growth that sacrifices potential revenue for sustainable competitive positioning [1][3]. However, these decisions carry limited financial risk for a $43B company generating $10B+ in annual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Waste Connections delivered strong Q2 2026 results with $2.562B revenue (up 6.4% YoY), adjusted EBITDA margin expanding 10bps to 32.8%, and adjusted EPS of $1.50 (up 16.3% from $1.29), prompting management to raise 2026 guidance to $10.02-10.05B revenue and $3.33-3.34B adjusted EBITDA [1]. The company's differentiated strategy — targeting exclusive and secondary markets with servant leadership culture — generates industry-leading customer retention and pricing power (total price of 6.7% including 5.6% core and 1.1% surcharges). The $100M AI investment across pricing, routing, and five additional initiatives is driving measurable operational efficiencies across 25,000 employees. Management expressed confidence in double-digit adjusted free cash flow per share growth in 2026 and beyond [1][2]. The 5-year revenue CAGR of ~12.7% reflects consistent execution through organic growth plus disciplined M&amp;A.</w:t>
      </w:r>
    </w:p>
    <w:p>
      <w:pPr>
        <w:spacing w:after="120"/>
      </w:pPr>
      <w:r>
        <w:rPr>
          <w:rFonts w:ascii="Calibri" w:hAnsi="Calibri"/>
          <w:b w:val="0"/>
          <w:color w:val="3A4A28"/>
          <w:sz w:val="20"/>
        </w:rPr>
        <w:t>The primary concern is valuation. At 31.54x forward earnings and an estimated PEG of ~2.5, Waste Connections trades at a significant premium to the broader market and to waste industry peers, reflecting the market's high regard for operational quality but leaving limited margin of safety [6]. The trailing P/E of 40.48 is elevated even by waste industry standards. Organic volume declined 1.9% in Q2 2026 due to macroeconomic uncertainty and elevated fuel costs impacting construction activity, suggesting the premium pricing strategy may be reaching limits in a softening economy [1]. ROE of 13.12% falls short of the 15% target, and profit margin of 10.97% is constrained by the asset-heavy business model. D/E of 117.1% reflects the acquisition-funded growth strategy but limits balance sheet flexibility. The 0.78% dividend yield provides minimal income despite consistent 11.26% growth, and the stock requires sustained mid-single-digit organic growth plus M&amp;A to justify its premium multiple.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AI deployment across five remaining enterprise initiatives beyond pricing and routing, with real-time routing optimization expected to reduce fuel costs, improve driver efficiency, and expand margins across the 25,000-employee fleet</w:t>
      </w:r>
    </w:p>
    <w:p>
      <w:pPr>
        <w:spacing w:before="40" w:after="40"/>
        <w:ind w:left="283"/>
      </w:pPr>
      <w:r>
        <w:rPr>
          <w:rFonts w:ascii="Calibri" w:hAnsi="Calibri"/>
          <w:b/>
          <w:color w:val="4A6B25"/>
          <w:sz w:val="20"/>
        </w:rPr>
        <w:t xml:space="preserve">2. </w:t>
      </w:r>
      <w:r>
        <w:rPr>
          <w:rFonts w:ascii="Calibri" w:hAnsi="Calibri"/>
          <w:b w:val="0"/>
          <w:color w:val="3A4A28"/>
          <w:sz w:val="20"/>
        </w:rPr>
        <w:t>Robust M&amp;A pipeline targeting $500M+ in annual acquired revenue at accretive multiples, leveraging servant leadership culture for superior post-acquisition integration versus peers</w:t>
      </w:r>
    </w:p>
    <w:p>
      <w:pPr>
        <w:spacing w:before="40" w:after="40"/>
        <w:ind w:left="283"/>
      </w:pPr>
      <w:r>
        <w:rPr>
          <w:rFonts w:ascii="Calibri" w:hAnsi="Calibri"/>
          <w:b/>
          <w:color w:val="4A6B25"/>
          <w:sz w:val="20"/>
        </w:rPr>
        <w:t xml:space="preserve">3. </w:t>
      </w:r>
      <w:r>
        <w:rPr>
          <w:rFonts w:ascii="Calibri" w:hAnsi="Calibri"/>
          <w:b w:val="0"/>
          <w:color w:val="3A4A28"/>
          <w:sz w:val="20"/>
        </w:rPr>
        <w:t>Raised 2026 guidance to $10.02-10.05B revenue and $3.33-3.34B adjusted EBITDA, with management targeting double-digit adjusted free cash flow per share growth driven by pricing power and AI-driven operational efficiencies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Premium valuation at 31.54x forward P/E and ~2.5 PEG leaves limited margin of safety — any organic volume deterioration below the -1.9% Q2 decline could trigger multiple compression on a $43B market cap</w:t>
      </w:r>
    </w:p>
    <w:p>
      <w:pPr>
        <w:spacing w:before="40" w:after="40"/>
        <w:ind w:left="283"/>
      </w:pPr>
      <w:r>
        <w:rPr>
          <w:rFonts w:ascii="Calibri" w:hAnsi="Calibri"/>
          <w:b/>
          <w:color w:val="4A6B25"/>
          <w:sz w:val="20"/>
        </w:rPr>
        <w:t xml:space="preserve">2. </w:t>
      </w:r>
      <w:r>
        <w:rPr>
          <w:rFonts w:ascii="Calibri" w:hAnsi="Calibri"/>
          <w:b w:val="0"/>
          <w:color w:val="3A4A28"/>
          <w:sz w:val="20"/>
        </w:rPr>
        <w:t>Macroeconomic slowdown driving construction-related volume declines and elevated customer churn, with Q2 2026 volumes down 1.9% suggesting pricing-led growth may face limits in a weakening economy</w:t>
      </w:r>
    </w:p>
    <w:p>
      <w:pPr>
        <w:spacing w:before="40" w:after="40"/>
        <w:ind w:left="283"/>
      </w:pPr>
      <w:r>
        <w:rPr>
          <w:rFonts w:ascii="Calibri" w:hAnsi="Calibri"/>
          <w:b/>
          <w:color w:val="4A6B25"/>
          <w:sz w:val="20"/>
        </w:rPr>
        <w:t xml:space="preserve">3. </w:t>
      </w:r>
      <w:r>
        <w:rPr>
          <w:rFonts w:ascii="Calibri" w:hAnsi="Calibri"/>
          <w:b w:val="0"/>
          <w:color w:val="3A4A28"/>
          <w:sz w:val="20"/>
        </w:rPr>
        <w:t>Acquisition-dependent growth model with D/E of 117.1% requires continued access to capital markets at favorable rates; rising interest costs or a tightening M&amp;A environment could constrain the growth engine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Waste collection, transfer, and landfill disposal are entirely physical-world operations that AI structurally cannot displace — trucks must collect garbage, landfills must process waste, and recycling facilities must sort materials, all requiring physical infrastructure and human labor [1]. Waste management is further protected by regulatory barriers (environmental permits, exclusive franchise agreements in municipalities), long-lived physical assets (landfills with 20-50 year lives), and local network density that creates natural monopolies. AI is purely an efficiency enabler for Waste Connections, not a substitution threat. If anything, AI growth increases demand for waste services through data center construction and associated waste generation [3]. AI Opportunity (1/1): The company's $100M investment across seven enterprise AI initiatives is already delivering measurable results — AI-powered pricing deployed in 2025 and real-time routing AI launched in 2026 integrating Google Maps, Waze, weather, and traffic data to optimize 25,000-employee fleet operations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Waste Connections Q2 2026 Earnings Release, Raised 2026 Guidance — Investors.WasteConnections.com, July 23, 2026</w:t>
      </w:r>
    </w:p>
    <w:p>
      <w:pPr>
        <w:spacing w:before="20" w:after="20"/>
        <w:ind w:left="170"/>
      </w:pPr>
      <w:r>
        <w:rPr>
          <w:rFonts w:ascii="Calibri" w:hAnsi="Calibri"/>
          <w:b/>
          <w:color w:val="4A6B25"/>
          <w:sz w:val="15"/>
        </w:rPr>
        <w:t xml:space="preserve">2. </w:t>
      </w:r>
      <w:r>
        <w:rPr>
          <w:rFonts w:ascii="Calibri" w:hAnsi="Calibri"/>
          <w:b w:val="0"/>
          <w:color w:val="3A4A28"/>
          <w:sz w:val="17"/>
        </w:rPr>
        <w:t>Waste Connections Q1 2026 Earnings Transcript — The Motley Fool, April 2026</w:t>
      </w:r>
    </w:p>
    <w:p>
      <w:pPr>
        <w:spacing w:before="20" w:after="20"/>
        <w:ind w:left="170"/>
      </w:pPr>
      <w:r>
        <w:rPr>
          <w:rFonts w:ascii="Calibri" w:hAnsi="Calibri"/>
          <w:b/>
          <w:color w:val="4A6B25"/>
          <w:sz w:val="15"/>
        </w:rPr>
        <w:t xml:space="preserve">3. </w:t>
      </w:r>
      <w:r>
        <w:rPr>
          <w:rFonts w:ascii="Calibri" w:hAnsi="Calibri"/>
          <w:b w:val="0"/>
          <w:color w:val="3A4A28"/>
          <w:sz w:val="17"/>
        </w:rPr>
        <w:t>NWRA Waste Leadership Summit 2026: Waste Connections $100M AI Investment and Glassdoor Culture Reviews — Waste Today Magazine, Glassdoor, 2026</w:t>
      </w:r>
    </w:p>
    <w:p>
      <w:pPr>
        <w:spacing w:before="20" w:after="20"/>
        <w:ind w:left="170"/>
      </w:pPr>
      <w:r>
        <w:rPr>
          <w:rFonts w:ascii="Calibri" w:hAnsi="Calibri"/>
          <w:b/>
          <w:color w:val="4A6B25"/>
          <w:sz w:val="15"/>
        </w:rPr>
        <w:t xml:space="preserve">4. </w:t>
      </w:r>
      <w:r>
        <w:rPr>
          <w:rFonts w:ascii="Calibri" w:hAnsi="Calibri"/>
          <w:b w:val="0"/>
          <w:color w:val="3A4A28"/>
          <w:sz w:val="17"/>
        </w:rPr>
        <w:t>Waste Connections 2024 Sustainability Report — sustainability.wasteconnections.com, October 2024</w:t>
      </w:r>
    </w:p>
    <w:p>
      <w:pPr>
        <w:spacing w:before="20" w:after="20"/>
        <w:ind w:left="170"/>
      </w:pPr>
      <w:r>
        <w:rPr>
          <w:rFonts w:ascii="Calibri" w:hAnsi="Calibri"/>
          <w:b/>
          <w:color w:val="4A6B25"/>
          <w:sz w:val="15"/>
        </w:rPr>
        <w:t xml:space="preserve">5. </w:t>
      </w:r>
      <w:r>
        <w:rPr>
          <w:rFonts w:ascii="Calibri" w:hAnsi="Calibri"/>
          <w:b w:val="0"/>
          <w:color w:val="3A4A28"/>
          <w:sz w:val="17"/>
        </w:rPr>
        <w:t>Waste Connections Dividend History and Growth — StockAnalysis.com, accessed July 2026</w:t>
      </w:r>
    </w:p>
    <w:p>
      <w:pPr>
        <w:spacing w:before="20" w:after="20"/>
        <w:ind w:left="170"/>
      </w:pPr>
      <w:r>
        <w:rPr>
          <w:rFonts w:ascii="Calibri" w:hAnsi="Calibri"/>
          <w:b/>
          <w:color w:val="4A6B25"/>
          <w:sz w:val="15"/>
        </w:rPr>
        <w:t xml:space="preserve">6. </w:t>
      </w:r>
      <w:r>
        <w:rPr>
          <w:rFonts w:ascii="Calibri" w:hAnsi="Calibri"/>
          <w:b w:val="0"/>
          <w:color w:val="3A4A28"/>
          <w:sz w:val="17"/>
        </w:rPr>
        <w:t>Waste Connections (WCN) Key Statistics and Financial Data — StockAnalysis.com, CNBC, Yahoo Finance,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