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WNW</w:t>
      </w:r>
      <w:r>
        <w:rPr>
          <w:rFonts w:ascii="Calibri" w:hAnsi="Calibri"/>
          <w:b/>
          <w:color w:val="1A2010"/>
          <w:sz w:val="40"/>
        </w:rPr>
        <w:t xml:space="preserve">  Meiwu Technology Company Limited</w:t>
      </w:r>
    </w:p>
    <w:p>
      <w:pPr>
        <w:spacing w:after="120"/>
      </w:pPr>
      <w:r>
        <w:rPr>
          <w:rFonts w:ascii="Calibri" w:hAnsi="Calibri"/>
          <w:b/>
          <w:color w:val="6E8450"/>
          <w:sz w:val="18"/>
        </w:rPr>
        <w:t>GROWTH SLEEVE · 2026-08-11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China</w:t>
      </w:r>
    </w:p>
    <w:p>
      <w:pPr>
        <w:spacing w:after="80"/>
      </w:pPr>
      <w:r>
        <w:rPr>
          <w:rFonts w:ascii="Calibri" w:hAnsi="Calibri"/>
          <w:b w:val="0"/>
          <w:color w:val="3A4A28"/>
          <w:sz w:val="20"/>
        </w:rPr>
        <w:t>Meiwu Technology Company Limited (formerly Wunong Net Technology) is a micro-cap Chinese company that has pivoted from online retail of green food and organic agricultural products to a combination of functional skincare products and a bitcoin treasury strategy. The company reported 2025 revenue of $7.1M (declining from ~$11M in prior years) and a consolidated net loss of $18.2M. Cash declined from $43.4M to $17.9M due to $41M in investing outflows. The company executed a 1:100 reverse stock split in April 2026. Multiple law firms have announced investigations into the company, and it has faced NASDAQ non-compliance notices for late filings. Market cap fluctuates between $9M and $69M.</w:t>
      </w:r>
    </w:p>
    <w:p>
      <w:r>
        <w:rPr>
          <w:rFonts w:ascii="Calibri" w:hAnsi="Calibri"/>
          <w:b/>
          <w:color w:val="6E8450"/>
          <w:sz w:val="18"/>
        </w:rPr>
        <w:t>46 Employees · https://www.meiwutechnology.com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Meiwu has not executed any successful product launches or business model transformations in the last five years. The company has pivoted from agricultural food e-commerce to skincare to bitcoin treasury strategy, but each transition has been accompanied by declining revenue — from ~$11M annually in FY2022-2023 to $7.1M in 2025 — suggesting reactive pivoting rather than strategic innovation [1]. The reverse stock split (1:100 in April 2026) is a defensive measure to maintain NASDAQ listing compliance, not an innovation initiative. AI Deployment (0/2): No evidence of any AI deployment, AI products, or AI-driven efficiency programs was identified in company filings or public disclosures. Market Share (0/2): Meiwu holds no meaningful market share in any identifiable product category. With 46 employees, $7.1M in revenue, and a market cap under $70M, the company is a micro-cap participant with no competitive differentiation in food e-commerce, skincare, or cryptocurrency [1]. Product Pipeline (0/2): No next-generation products with specific timelines have been announced. The bitcoin treasury strategy and skincare pivot lack defined product roadmaps or revenue visibility. R&amp;D Intensity (0/1): No evidence of any R&amp;D spending or technology development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the company's website or public materials. Meiwu's business model has shifted repeatedly (food e-commerce, skincare, bitcoin treasury) without articulating a coherent purpose beyond revenue generation. The company does not communicate why it exists beyond commercial activity [1]. Community Impact (0/2): No evidence of charitable giving, community programs, or social investment was identified in company disclosures or public sources. Employee Retention (0/2): The company's employee count has declined from 92 to approximately 46, indicating contraction rather than retention. No voluntary turnover, tenure, or employee satisfaction data is publicly available [1]. Insider Buying (0/2): No evidence of insider buying was found. Multiple law firms (Silver Law Group, Schall Law Firm, Pomerantz, Rosen) have announced investigations into claims against the company, which typically correlates with insider selling pressure rather than buying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9,857 shares multiplied by the stock price of $2.73 yields daily dollar volume of approximately $26,900, which is far below the $1,000,000 liquidity floor required by IOWN [1]. Infrastructure score is automatically set to 0 regardless of other financial metrics. For reference, the underlying financials are also deeply challenged: 2025 revenue of $7.1M with a net loss of $18.2M (-256% profit margin), declining cash position ($17.9M vs $43.4M prior year due to $41M investing outflows), and no path to profitability evident. The only positive metric is the absence of debt (D/E of 0%). The 1:100 reverse stock split in April 2026 was executed to maintain NASDAQ listing compliance, indicating the stock was previously trading below the $1 minimum bid requirement.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Meiwu Technology exhibits a textbook finite game mindset — the company has pivoted between business models (food e-commerce, skincare, bitcoin treasury) without articulating a coherent purpose, demonstrating no consistency of direction across time. There is no Just Cause, no evidence of courageous long-term investment, no organizational trust-building, and no strategic flexibility driven by purpose. The serial pivots appear reactive to market trends rather than driven by conviction, and the multiple law firm investigations suggest governance concerns that undermine any infinite game credibility. This is a company playing to survive the next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Meiwu has no articulated vision of a better future, no consistent purpose across its multiple business pivots, and no evidence that any strategic decision has been driven by anything other than short-term commercial opportunity [1]. The shift from food e-commerce to skincare to bitcoin treasury within a few years demonstrates the opposite of Sinek's Just Cause — there is no enduring purpose that survives changes in market conditions. The company exists to generate revenue,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indicators dominate: employee count has declined from 92 to approximately 46, multiple law firms have announced investor investigations [2], the company received NASDAQ non-compliance notices for failure to file annual reports on time, and the serial business pivots create organizational instability. With 46 employees in a company that has changed its name, business model, and strategic direction multiple times, there is no evidence of the stable, psychologically safe environment Sinek describes as essential.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awareness is evident in public disclosures. The company does not reference competitors, does not position itself against peers, and does not demonstrate the learning-from-rivals mindset that characterizes infinite game players. The serial pivots suggest the company is chasing market trends rather than competing thoughtfully in any single category.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Meiwu has technically made multiple business model pivots (food to skincare to bitcoin), these do not qualify as existential flexibility in Sinek's framework because they are not driven by a Just Cause — they are reactive survival moves [1]. Sinek's concept requires abandoning a profitable business in service of a larger purpose. Meiwu has abandoned failing businesses in search of any viable revenue stream. The pivots were driven by declining revenue and business deterioration, not by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was identified. Leadership has optimized for short-term survival — the reverse stock split to maintain NASDAQ compliance, the bitcoin treasury strategy following the cryptocurrency trend, and the skincare pivot all represent reactive measures rather than proactive long-term investment [1]. The failure to file annual reports on time (triggering NASDAQ non-compliance) and the multiple law firm investigations suggest governance shortcomings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Meiwu Technology is a micro-cap Chinese company with a $7.1M revenue base that is declining year over year, a $18.2M net loss that exceeds total revenue by 2.6x, and a cash position burning from $43.4M to $17.9M in a single year due to $41M in investing outflows [1]. The company's only structural positive is zero debt (D/E of 0%), but this is offset by every other financial and operational metric. The recent pivot to a bitcoin treasury strategy alongside a functional skincare business lacks strategic coherence, and the company has no competitive moats, no market share, and no demonstrated ability to execute a profitable business model in any category.</w:t>
      </w:r>
    </w:p>
    <w:p>
      <w:pPr>
        <w:spacing w:after="120"/>
      </w:pPr>
      <w:r>
        <w:rPr>
          <w:rFonts w:ascii="Calibri" w:hAnsi="Calibri"/>
          <w:b w:val="0"/>
          <w:color w:val="3A4A28"/>
          <w:sz w:val="20"/>
        </w:rPr>
        <w:t>The risk profile is severe. The stock fails the IOWN liquidity floor test (daily dollar volume of ~$27,000 vs the $1M minimum), making it untradeable for any institutional or systematic investment strategy. Multiple law firms have announced investigations into the company, and NASDAQ non-compliance notices for late filings signal governance deficiencies [2]. The 1:100 reverse stock split in April 2026 was necessary to avoid delisting, and the stock has declined 24.8% since July 2026 [1]. The serial business pivots (food, skincare, bitcoin) without a coherent strategy, combined with a workforce that has contracted from 92 to 46 employees, indicate a company in structural decline rather than strategic transition. The Inspire Impact Score of 29 (ALIGNED) is the only positive signal, but it reflects low ecological impact rather than active positive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treasury strategy could generate returns if cryptocurrency prices appreciate, though this is a speculative financial bet rather than a business catalyst [1]</w:t>
      </w:r>
    </w:p>
    <w:p>
      <w:pPr>
        <w:spacing w:before="40" w:after="40"/>
        <w:ind w:left="283"/>
      </w:pPr>
      <w:r>
        <w:rPr>
          <w:rFonts w:ascii="Calibri" w:hAnsi="Calibri"/>
          <w:b/>
          <w:color w:val="4A6B25"/>
          <w:sz w:val="20"/>
        </w:rPr>
        <w:t xml:space="preserve">2. </w:t>
      </w:r>
      <w:r>
        <w:rPr>
          <w:rFonts w:ascii="Calibri" w:hAnsi="Calibri"/>
          <w:b w:val="0"/>
          <w:color w:val="3A4A28"/>
          <w:sz w:val="20"/>
        </w:rPr>
        <w:t>Functional skincare business in China could gain traction if the company successfully pivots its distribution infrastructure and brand, though no evidence of market penetration exists</w:t>
      </w:r>
    </w:p>
    <w:p>
      <w:pPr>
        <w:spacing w:before="40" w:after="40"/>
        <w:ind w:left="283"/>
      </w:pPr>
      <w:r>
        <w:rPr>
          <w:rFonts w:ascii="Calibri" w:hAnsi="Calibri"/>
          <w:b/>
          <w:color w:val="4A6B25"/>
          <w:sz w:val="20"/>
        </w:rPr>
        <w:t xml:space="preserve">3. </w:t>
      </w:r>
      <w:r>
        <w:rPr>
          <w:rFonts w:ascii="Calibri" w:hAnsi="Calibri"/>
          <w:b w:val="0"/>
          <w:color w:val="3A4A28"/>
          <w:sz w:val="20"/>
        </w:rPr>
        <w:t>Potential resolution of law firm investigations could remove a governance overhang, though outcomes are uncertain and could be negative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remains elevated — the company has already received non-compliance notices and executed a reverse stock split to maintain listing status, and continued revenue decline or missed filings could trigger delisting proceedings [2]</w:t>
      </w:r>
    </w:p>
    <w:p>
      <w:pPr>
        <w:spacing w:before="40" w:after="40"/>
        <w:ind w:left="283"/>
      </w:pPr>
      <w:r>
        <w:rPr>
          <w:rFonts w:ascii="Calibri" w:hAnsi="Calibri"/>
          <w:b/>
          <w:color w:val="4A6B25"/>
          <w:sz w:val="20"/>
        </w:rPr>
        <w:t xml:space="preserve">2. </w:t>
      </w:r>
      <w:r>
        <w:rPr>
          <w:rFonts w:ascii="Calibri" w:hAnsi="Calibri"/>
          <w:b w:val="0"/>
          <w:color w:val="3A4A28"/>
          <w:sz w:val="20"/>
        </w:rPr>
        <w:t>Cash burn rate is unsustainable — $43.4M declined to $17.9M in one year, and with $18.2M in annual net losses and $7.1M in declining revenue, the company has approximately 12-18 months of runway without additional capital raises [1]</w:t>
      </w:r>
    </w:p>
    <w:p>
      <w:pPr>
        <w:spacing w:before="40" w:after="40"/>
        <w:ind w:left="283"/>
      </w:pPr>
      <w:r>
        <w:rPr>
          <w:rFonts w:ascii="Calibri" w:hAnsi="Calibri"/>
          <w:b/>
          <w:color w:val="4A6B25"/>
          <w:sz w:val="20"/>
        </w:rPr>
        <w:t xml:space="preserve">3. </w:t>
      </w:r>
      <w:r>
        <w:rPr>
          <w:rFonts w:ascii="Calibri" w:hAnsi="Calibri"/>
          <w:b w:val="0"/>
          <w:color w:val="3A4A28"/>
          <w:sz w:val="20"/>
        </w:rPr>
        <w:t>Zero liquidity makes the stock effectively untradeable — average daily dollar volume of ~$27,000 means even small positions cannot be entered or exited without significant market impact, creating permanent capital risk for any investor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Meiwu's remaining operations — online food retail, functional skincare products, and bitcoin treasury management — involve physical product distribution and cryptocurrency holdings that AI cannot directly displace [1]. A food and skincare e-commerce business in China faces no meaningful AI substitution risk for its core activities (sourcing, warehousing, shipping physical goods). However, the company lacks any defensive moats — no proprietary technology, no brand recognition, no switching costs, no scale advantages — that would protect it from any form of competitive pressure, AI or otherwise. The bitcoin treasury strategy is purely a financial holding that is neither threatened nor enhanced by AI. The score reflects low direct AI disruption risk offset by the complete absence of competitive moats. AI Opportunity (0/1): No AI revenue, no AI products, and no AI strategy were identified in any company disclosures or public 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Meiwu Technology 20-F Annual Report (FY2025) — Revenue $7.1M, Net Loss $18.2M, Cash Declined to $17.9M, 1:100 Reverse Stock Split April 2026, 46 Employees — SEC Filing, 2026</w:t>
      </w:r>
    </w:p>
    <w:p>
      <w:pPr>
        <w:spacing w:before="20" w:after="20"/>
        <w:ind w:left="170"/>
      </w:pPr>
      <w:r>
        <w:rPr>
          <w:rFonts w:ascii="Calibri" w:hAnsi="Calibri"/>
          <w:b/>
          <w:color w:val="4A6B25"/>
          <w:sz w:val="15"/>
        </w:rPr>
        <w:t xml:space="preserve">2. </w:t>
      </w:r>
      <w:r>
        <w:rPr>
          <w:rFonts w:ascii="Calibri" w:hAnsi="Calibri"/>
          <w:b w:val="0"/>
          <w:color w:val="3A4A28"/>
          <w:sz w:val="17"/>
        </w:rPr>
        <w:t>Meiwu Technology NASDAQ Non-Compliance and Law Firm Investigations — Silver Law Group, Schall Law Firm, Pomerantz, Rosen Investigating Claims — StockTitan, InvestorsHub,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