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WRN</w:t>
      </w:r>
      <w:r>
        <w:rPr>
          <w:rFonts w:ascii="Calibri" w:hAnsi="Calibri"/>
          <w:b/>
          <w:color w:val="1A2010"/>
          <w:sz w:val="40"/>
        </w:rPr>
        <w:t xml:space="preserve">  Western Copper and Gold Corporation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2026-07-19 · Inspire: 0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39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Basic Materials · Copper · NYSE American · Canada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Western Copper and Gold is a Vancouver-based, pre-revenue exploration and development company advancing the Casino Project — a large-scale copper-gold-silver-molybdenum deposit in Yukon, Canada, located within the traditional territories of the Selkirk First Nation and Tr'ondëk Hwëch'in [1][2]. The company submitted its Environmental and Socio-economic Effects Statement to the Yukon Environmental and Socio-economic Assessment Board (YESAB) in October 2025, closed a $92M bought-deal equity financing in February 2026 to fund permitting and engineering, and ended March 2026 with roughly $135M in cash and short-term investments under CEO Sandeep Singh [1][2].</w:t>
      </w:r>
    </w:p>
    <w:p>
      <w:r>
        <w:rPr>
          <w:rFonts w:ascii="Calibri" w:hAnsi="Calibri"/>
          <w:b/>
          <w:color w:val="6E8450"/>
          <w:sz w:val="18"/>
        </w:rPr>
        <w:t>40 Employees · https://www.westerncopperandgold.com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Western Copper submitted its ESE Statement to YESAB in October 2025 and closed a $92M financing in early 2026 to advance permitting and engineering — steady project advancement, but it remains the same single Casino asset moving through regulatory stages rather than a transformative pivot [1][2]. AI Deployment (0/2): No evidence of AI deployment was found. Market Share (0/2): Not applicable — the company is pre-revenue with no commercial position. Product Pipeline (1/2): The Casino Project has a specific, filed ESE Statement now in sufficiency review, but production timing remains contingent on permitting outcomes and further construction financing, so visibility is only partial [1]. R&amp;D Intensity (0/1): Exploration/evaluation spend of $21.6M in the reporting period is standard for the development stage rather than above-average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(1/4): The company's self-description — 'Developing Canada's Premier Copper-Gold Mine' — identifies the asset and location but articulates no deeper purpose beyond project economics [2]. Community Impact (1/2): Western is a member of the Mining Association of Canada, adheres to Toward Sustainable Mining standards, and has engaged in structured First Nations consultation on the Casino Project, though tensions remain over a proposed access road through hunting grounds and tailings arrangements — genuine engagement infrastructure but not extraordinary, dollar-quantified community investment [1][3]. Employee Retention (0/2): No tenure or turnover data found. Insider Buying (0/2): No evidence of net insider buying found in research; recent capital raises were institutional equity financings, not personal purchases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available metrics; most core metrics are unavailable given pre-revenue status. Debt-to-Equity is effectively 0% — the company carries no debt, scoring a full 1.0 [4]. Return on Equity is -2.13%, below the zero floor and scoring 0.0. Revenue growth, profit margin, Forward P/E, and PEG are all unavailable (no revenue or earnings) and excluded from the weighted calculation. With only two of seven weighted metrics available, the mechanical score of 3/10 reflects a clean, debt-free balance sheet offset by pre-revenue unprofitability. Liquidity floor cleared: ~1.87M avg daily volume × $2.13 = ~$4.0M, comfortably above the $1M threshold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Western Copper and Gold has invested real capital ($92M raised in early 2026) to advance permitting patiently through the YESAB process, but the company has not articulated a Just Cause beyond developing its own asset, has undergone recent leadership churn even as it frames new hires as team-strengthening, and — as a single-project developer since 2006 — has never faced or demonstrated existential flexibility.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Western's stated purpose is developing 'Canada's Premier Copper-Gold Mine,' a project-execution goal rather than an idealistic, resilient cause; First Nations engagement references responsible development but the core narrative remains asset-value creation [1][2].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CEO Sandeep Singh completed a leadership transition in early 2025, followed by new COO and VP Technical hires in January 2026 — recent, repeated leadership churn framed as 'strengthening,' which is a mixed signal without evidence of instability but also without evidence of an unusually high-trust, low-turnover culture [1][2].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of competitive framing — favorable or otherwise — was found; as a single-asset developer, Western does not position Casino relative to named rival projects.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(0/2): Western Copper and Gold has pursued the same single Casino asset since incorporation in 2006 with no evidence of strategic pivots or business-model diversification — the company is too singularly focused to have faced this test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Raising $92M in dilutive equity to fund permitting and engineering, rather than delaying spend, reflects willingness to accept near-term shareholder dilution in service of long-term project advancement [1][2].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Western Copper and Gold offers optionality on one of the largest undeveloped copper-gold deposits in North America, with a debt-free balance sheet and roughly $135M in cash and short-term investments after a $92M bought-deal financing in February 2026 [1][2]. The company submitted its Environmental and Socio-economic Effects Statement to YESAB in October 2025, which concluded that project-related residual effects would be 'not significant' across assessed components — a constructive regulatory signal [3]. New technical leadership (COO Robert Dirk, ex-Suncor; VP Technical Christian Roldan, ex-Newmont) adds execution depth ahead of a potential construction decision, and ongoing dialogue with strategic partner Mitsubishi Materials on extending its investor rights agreement provides a potential path to project-level capital [1][2].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significant: Western Copper and Gold is a pre-revenue, single-asset company with negative ROE of -2.13% and no path to cash flow before a construction decision, permitting approval, and a still-unfunded, multi-billion-dollar capital program [4]. First Nations groups have raised specific concerns about a proposed access road through hunting grounds and tailings arrangements, and the delayed ESE submission timeline reflects the complexity of achieving social license [3]. Frequent leadership turnover — a CEO transition in 2025 followed by two senior technical hires in January 2026 — introduces execution and continuity risk at a critical permitting juncture [1][2]. With no Just Cause, no demonstrated existential flexibility, and an Infinite Game score of just 3/10, Western Copper and Gold reads as a finite, single-project bet rather than an enduring institution, and the overall score of 39 falls into SELL territory.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Positive outcome from the YESAB sufficiency review and progression to formal Panel review would materially de-risk the permitting pathway for Casino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 finalized, extended strategic partnership agreement with Mitsubishi Materials could provide project-level financing validation and reduce future dilution risk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Rising copper prices driven by AI datacenter, grid, and electrification demand would increase the embedded value of the Casino deposit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Western Copper and Gold generates no revenue and posted negative ROE of -2.13%; the company remains fully dependent on capital markets for both near-term permitting costs and an eventual multi-billion-dollar construction budget [1][4]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First Nations concerns over the proposed access road and tailings arrangements create real permitting and social-license risk that could delay or reshape the project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Recent leadership churn (CEO transition in 2025, new COO and VP Technical in January 2026) introduces execution and continuity risk during a critical permitting phase [1][2]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Copper-gold-silver-molybdenum exploration and future extraction is a physical-world business immune to AI substitution — the Casino deposit's value derives from a proven mineral resource and permitting progress, neither of which AI can displace [1]. Copper is additionally a direct beneficiary of AI infrastructure buildout (data centers, grid, power distribution), an industry tailwind rather than a threat. AI Opportunity (0/1): No evidence of Western Copper using AI for geological modeling or citing quantified AI-driven savings was found.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Western Copper and Gold Q1 2026 Financing and Leadership Announcements — StockTitan, TipRanks, accessed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Western Copper and Gold Leadership Team Appointments — StockTitan, Yahoo Finance, accessed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Western Copper and Gold Casino Project ESE Statement and First Nations Engagement — Mining.com, PRNewswire, accessed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StockAnalysis.com — WRN Key Statistics, accessed July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