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WU</w:t>
      </w:r>
      <w:r>
        <w:rPr>
          <w:rFonts w:ascii="Calibri" w:hAnsi="Calibri"/>
          <w:b/>
          <w:color w:val="1A2010"/>
          <w:sz w:val="40"/>
        </w:rPr>
        <w:t xml:space="preserve">  The Western Union Company</w:t>
      </w:r>
    </w:p>
    <w:p>
      <w:pPr>
        <w:spacing w:after="120"/>
      </w:pPr>
      <w:r>
        <w:rPr>
          <w:rFonts w:ascii="Calibri" w:hAnsi="Calibri"/>
          <w:b/>
          <w:color w:val="6E8450"/>
          <w:sz w:val="18"/>
        </w:rPr>
        <w:t>DIVIDEND SLEEVE · 2026-08-21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The Western Union Company provides cross-border and domestic money transfer services, digital payments, and consumer financial services worldwide. Operating through Consumer Money Transfer and Consumer Services segments, the company facilitates remittances via a network of ~500,000 retail agent locations across 200+ countries. Q2 2026 adjusted revenue was $1B (-1% YoY), with branded digital transactions surging 25%. Management slashed FY2026 adjusted EPS guidance to $1.25-$1.35 (from $1.75-$1.85), citing margin pressures and retail headwinds. The Intermex acquisition is expected to close September 1, 2026. Headquartered in Denver, Colorado.</w:t>
      </w:r>
    </w:p>
    <w:p>
      <w:r>
        <w:rPr>
          <w:rFonts w:ascii="Calibri" w:hAnsi="Calibri"/>
          <w:b/>
          <w:color w:val="6E8450"/>
          <w:sz w:val="18"/>
        </w:rPr>
        <w:t>7,500 Employees · https://www.westernunion.com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Western Union's digital transformation has accelerated but has not reversed secular decline. Branded digital transactions grew 25% in Q2 2026 with adjusted revenue up 6%, improving from 21% transaction growth in Q1 [1]. The Intermex acquisition (closing Sept. 1, 2026) strengthens Latin American corridors, and the Solana-based USDPT stablecoin pilot with Bybit represents genuine fintech innovation [1]. However, overall adjusted revenue still declined 1% YoY as the core retail agent business continues eroding. AI Deployment (1/2): WU partnered with HCLTech for an AI-powered platform operating model, deploying AI for fraud detection, compliance automation, and KYC turnaround time reduction [3]. Management describes AI as an operational imperative generating measurable cost savings, but no customer-facing AI products are shipping. Market Share (1/2): Western Union remains the global leader in cross-border retail remittances with ~500,000 agent locations across 200+ countries, but faces accelerating share loss to digital-native competitors (Wise, Remitly, Revolut) and mobile money platforms that offer 50-80% lower fees [3]. Consumer Services adjusted revenue grew 12% in Q2, driven by bill pay and Travel Money. Pipeline (0/2): No specific next-generation products with named timelines are visible beyond the stablecoin pilot. R&amp;D Intensity (1/1): WU's investment in digital transformation, AI partnerships, and blockchain infrastructure exceeds traditional money transfer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Western Union's purpose centers on 'moving money for better' and financial inclusion for migrants and underbanked populations — a clear and socially relevant mission connecting the company's work to improving lives of marginalized communities [5]. However, the premium pricing model (5-8% take rates vs. 0.5-1% for digital competitors) creates tension with the inclusion narrative. Community Impact (1/2): The Western Union Foundation invests in economic opportunity programs, refugee support, and disaster relief globally, with a $15M commitment over three years focused on empowering displaced and marginalized youth [5]. The 'Opportunity Beyond Borders' initiative was recognized by the Conference Board. Employee Retention (0/2): Glassdoor reviews describe executive leadership as 'avoidant and uncommunicative,' report 'layoff-driven policies affecting morale,' and cite an organization 'heavily influenced by internal politics, favoritism, and sycophancy' where 'competent employees often get ignored or pushed out' [4]. No positive retention metrics identified. Insider Buying (1/2): Officer-level insider selling was identified in recent quarters (Benjamin Adams ~$184K in May 2026, Giovanni Angelini $57K in April 2026) with no open-market buying, suggesting net insider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Western Union's Forward P/E of 4.96 scores perfectly against the 20x target, reflecting deep market skepticism about the business [2]. ROE of 43.97% exceeds the 15% target but is amplified by a thin equity base from aggressive buybacks and high leverage. D/E of 295% is dangerously close to the 300% floor, contributing near-zero to the score. Revenue declined 1% YoY in Q2 2026 and the 5-year CAGR of -3.5% reflects persistent secular erosion [1]. Profit margin of 12.56% is below the 20% target. On the dividend side, approximately 10 consecutive years of payment score perfectly with 2x weight, but the dividend has been flat at $0.94/share with 0 consecutive years of growth and 0% 5-year dividend growth CAGR — both contributing zero with their respective weights. The payout ratio of 72% (based on $0.94 dividend vs. $1.30 midpoint adjusted EPS guidance) is elevated. The stock clears the liquidity floor with approximately $63M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Western Union's 175-year history demonstrates remarkable survival instinct, but the company is operating in reactive survival mode as digital-native competitors erode its core business. The mid-year EPS guidance slash of 27% (from $1.75-$1.85 to $1.25-$1.35) epitomizes finite-game thinking — managing quarterly expectations rather than investing for long-term transformation. The stablecoin pilot and Intermex acquisition show strategic adaptation, but five consecutive years of revenue decline and a demoralized workforce suggest the company is playing to survive, not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Western Union's purpose of enabling financial inclusion for migrants and underbanked populations is socially compelling and connects to a genuine need — billions of people rely on cross-border remittances [5]. However, the company's premium pricing (5-8% take rates vs. 0.5-1% for digital competitors) undermines the 'moving money for better' narrative. The cause exists but does not shape strategic decisions — the mid-year EPS guidance cut and cost-cutting focus suggest earnings management drives behavior more than financial inclusion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organizational environment where executive leadership is 'avoidant and uncommunicative' and the organization is 'heavily influenced by internal politics, favoritism, and sycophancy' [4]. Employees report layoff-driven policies affecting morale, with competent employees often ignored or pushed out. Cost optimization selectively targets lower-level employees while leadership expands. This describes the opposite of Sinek's Circle of Safety — employees are protecting themselves from internal politics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Western Union's strategic actions acknowledge competitors' strengths — the stablecoin pilot was inspired by crypto-native competitors, the digital platform investment responds to Wise and Remitly's superior customer experience, and the Intermex acquisition strengthens corridors where competitors had been gaining share [1][3]. Management frames competition as a catalyst for transformation rather than an enemy to defeat, and the partnership with HCLTech for AI capabilities demonstrates willingness to learn from technology leaders.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Western Union's multi-century evolution from telegraph company (1851) to money transfer to digital payments and stablecoin rails demonstrates meaningful strategic adaptation. Branded digital transactions grew 25% in Q2 2026 with Consumer Services up 12% [1]. The Solana stablecoin pilot and AI compliance platform show willingness to embrace technologies that could transform the business model. However, the core cash remittance business continues declining and the transformation is incremental and forced by competition, not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McGranahan's Solana stablecoin pilot and Intermex acquisition demonstrate willingness to embrace disruptive technologies that could cannibalize the core agent network [1]. Investing in blockchain infrastructure during a period of declining revenue and margin compression takes some courage. However, the 27% mid-year EPS guidance cut (from $1.75-$1.85 to $1.25-$1.35) reflects a leadership team managing earnings expectations downward rather than making bold long-term investments, and cost-cutting across the organization prioritizes near-term margin preservation over capability building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Western Union at 4.96x forward earnings with a 12.86% dividend yield offers deep value characteristics if the digital transformation can stabilize the business. Q2 2026 showed branded digital transactions surging 25% with Consumer Services revenue up 12%, and adjusted revenue decline moderating to just -1% YoY [1]. The Intermex acquisition (closing Sept. 1) should deliver the first year of revenue growth since 2021 through Latin American corridor expansion, with FY2026 adjusted revenue guidance of 4-6% growth including the deal. ROE of 43.97% and Forward P/E of 4.96x reflect efficient capital deployment at a deeply discounted valuation [2]. The 200+ country regulatory moat remains a real barrier to fintech entrants, and WU's Solana stablecoin pilot positions the company at the intersection of traditional remittances and next-gen payment rails.</w:t>
      </w:r>
    </w:p>
    <w:p>
      <w:pPr>
        <w:spacing w:after="120"/>
      </w:pPr>
      <w:r>
        <w:rPr>
          <w:rFonts w:ascii="Calibri" w:hAnsi="Calibri"/>
          <w:b w:val="0"/>
          <w:color w:val="3A4A28"/>
          <w:sz w:val="20"/>
        </w:rPr>
        <w:t>The bear case is structural and severe. The mid-year EPS guidance slash from $1.75-$1.85 to $1.25-$1.35 — a 27% reduction — signals accelerating earnings deterioration that the Intermex acquisition cannot mask [1]. Five consecutive years of organic revenue decline reflect digital-native competitors (Wise, Remitly, Revolut) systematically undercutting WU's take rates by 50-80%, and the G20 target to cut average remittance costs to 3% by 2030 will compress pricing further [3]. D/E of 295% — just 5 percentage points from the scoring floor — leaves almost no balance sheet flexibility for transformation investment, and the 12.86% yield is a classic distress signal with the payout ratio climbing to 72% against declining earnings. Glassdoor reviews describe a demoralized workforce with political internal culture and avoidant leadership, undermining the human capital needed for digital reinvention [4].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Intermex acquisition closing September 1, 2026 contributing to FY2026 adjusted revenue growth guidance of 4-6% — the first year of growth since 2021, potentially catalyzing a re-rating from distressed to turnaround [1]</w:t>
      </w:r>
    </w:p>
    <w:p>
      <w:pPr>
        <w:spacing w:before="40" w:after="40"/>
        <w:ind w:left="283"/>
      </w:pPr>
      <w:r>
        <w:rPr>
          <w:rFonts w:ascii="Calibri" w:hAnsi="Calibri"/>
          <w:b/>
          <w:color w:val="4A6B25"/>
          <w:sz w:val="20"/>
        </w:rPr>
        <w:t xml:space="preserve">2. </w:t>
      </w:r>
      <w:r>
        <w:rPr>
          <w:rFonts w:ascii="Calibri" w:hAnsi="Calibri"/>
          <w:b w:val="0"/>
          <w:color w:val="3A4A28"/>
          <w:sz w:val="20"/>
        </w:rPr>
        <w:t>Branded digital transaction growth accelerating to 25% in Q2 2026 (from 21% in Q1) suggests the digital platform is approaching scale that could offset retail declines and shift the revenue mix toward higher-margin digital channels [1]</w:t>
      </w:r>
    </w:p>
    <w:p>
      <w:pPr>
        <w:spacing w:before="40" w:after="40"/>
        <w:ind w:left="283"/>
      </w:pPr>
      <w:r>
        <w:rPr>
          <w:rFonts w:ascii="Calibri" w:hAnsi="Calibri"/>
          <w:b/>
          <w:color w:val="4A6B25"/>
          <w:sz w:val="20"/>
        </w:rPr>
        <w:t xml:space="preserve">3. </w:t>
      </w:r>
      <w:r>
        <w:rPr>
          <w:rFonts w:ascii="Calibri" w:hAnsi="Calibri"/>
          <w:b w:val="0"/>
          <w:color w:val="3A4A28"/>
          <w:sz w:val="20"/>
        </w:rPr>
        <w:t>Solana-based USDPT stablecoin pilot with Bybit positions Western Union to offer low-cost, instant cross-border transfers that leverage existing compliance infrastructure — a potential competitive equalizer against digital-native fintechs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terminal decline of the cash-based agent network as digital-native competitors and mobile money platforms capture the majority of new cross-border remittance volume at 50-80% lower fees, with G20 3% cost target by 2030 compressing take rates further [3]</w:t>
      </w:r>
    </w:p>
    <w:p>
      <w:pPr>
        <w:spacing w:before="40" w:after="40"/>
        <w:ind w:left="283"/>
      </w:pPr>
      <w:r>
        <w:rPr>
          <w:rFonts w:ascii="Calibri" w:hAnsi="Calibri"/>
          <w:b/>
          <w:color w:val="4A6B25"/>
          <w:sz w:val="20"/>
        </w:rPr>
        <w:t xml:space="preserve">2. </w:t>
      </w:r>
      <w:r>
        <w:rPr>
          <w:rFonts w:ascii="Calibri" w:hAnsi="Calibri"/>
          <w:b w:val="0"/>
          <w:color w:val="3A4A28"/>
          <w:sz w:val="20"/>
        </w:rPr>
        <w:t>D/E of 295% constrains financial flexibility — the highly leveraged capital structure leaves no cushion for transformation investment or earnings downturn, and the 12.86% dividend yield signals market pricing of significant dividend cut risk [2]</w:t>
      </w:r>
    </w:p>
    <w:p>
      <w:pPr>
        <w:spacing w:before="40" w:after="40"/>
        <w:ind w:left="283"/>
      </w:pPr>
      <w:r>
        <w:rPr>
          <w:rFonts w:ascii="Calibri" w:hAnsi="Calibri"/>
          <w:b/>
          <w:color w:val="4A6B25"/>
          <w:sz w:val="20"/>
        </w:rPr>
        <w:t xml:space="preserve">3. </w:t>
      </w:r>
      <w:r>
        <w:rPr>
          <w:rFonts w:ascii="Calibri" w:hAnsi="Calibri"/>
          <w:b w:val="0"/>
          <w:color w:val="3A4A28"/>
          <w:sz w:val="20"/>
        </w:rPr>
        <w:t>Mid-year EPS guidance cut of 27% (from $1.75-$1.85 to $1.25-$1.35) reflects margin compression and operational deterioration that could accelerate if retail headwinds intensify or the Intermex integration proves costly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Western Union's core cross-border money transfer business is EXPOSED to AI-enabled disruption. AI-powered fintech platforms (Wise, Remitly, Revolut) use machine learning to optimize FX rates, reduce compliance costs, and deliver superior digital experiences at significantly lower fees, directly undercutting WU's agent-based model [3]. AI-driven fraud detection and KYC/AML compliance — historically WU competitive advantages — are being commoditized and made available to any fintech entrant. However, WU retains meaningful defensive moats: money transmission licenses across 200+ countries represent years of regulatory investment that AI cannot shortcut, and the physical agent network remains essential for cash-based populations in developing markets where digital infrastructure is limited. AI does not eliminate the need for cross-border payments — it enables more efficient delivery, creating substitution risk in channels rather than demand destruction. AI Opportunity (1/1): WU's HCLTech AI partnership generates measurable operational savings through compliance automation and fraud detection, and the Solana stablecoin pilot positions WU at the intersection of traditional remittances and crypto rails [3]. The 25% digital transaction growth in Q2 2026 is partly enabled by AI-driven customer acquisition and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Western Union Q2 2026 Earnings Call Highlights — Adjusted Revenue $1B (-1% YoY), Digital Transactions +25%, EPS Guidance Cut to $1.25-$1.35, Intermex Closing Sept. 1, GuruFocus/Yahoo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WU Key Statistics: Forward P/E 4.96x, ROE 43.97%, D/E 295%, Profit Margin 12.56%, Stock Price $7.29,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PYMNTS.com — Western Union Pursues AI Savings as Falling Migration Hits Revenue; Seeking Alpha — Secular Decline and Fintech Competition, 2026</w:t>
      </w:r>
    </w:p>
    <w:p>
      <w:pPr>
        <w:spacing w:before="20" w:after="20"/>
        <w:ind w:left="170"/>
      </w:pPr>
      <w:r>
        <w:rPr>
          <w:rFonts w:ascii="Calibri" w:hAnsi="Calibri"/>
          <w:b/>
          <w:color w:val="4A6B25"/>
          <w:sz w:val="15"/>
        </w:rPr>
        <w:t xml:space="preserve">4. </w:t>
      </w:r>
      <w:r>
        <w:rPr>
          <w:rFonts w:ascii="Calibri" w:hAnsi="Calibri"/>
          <w:b w:val="0"/>
          <w:color w:val="3A4A28"/>
          <w:sz w:val="17"/>
        </w:rPr>
        <w:t>Glassdoor — Western Union Employee Reviews (2,919 reviews): Leadership culture, layoff concerns, internal politics,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Western Union Foundation — ESG Report and Community Investment ($15M commitment for displaced youth), Conference Board Recognition, Corporate Website,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