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XERS</w:t>
      </w:r>
      <w:r>
        <w:rPr>
          <w:rFonts w:ascii="Calibri" w:hAnsi="Calibri"/>
          <w:b/>
          <w:color w:val="1A2010"/>
          <w:sz w:val="40"/>
        </w:rPr>
        <w:t xml:space="preserve">  Xeris Biopharma Holdings, Inc.</w:t>
      </w:r>
    </w:p>
    <w:p>
      <w:pPr>
        <w:spacing w:after="120"/>
      </w:pPr>
      <w:r>
        <w:rPr>
          <w:rFonts w:ascii="Calibri" w:hAnsi="Calibri"/>
          <w:b/>
          <w:color w:val="6E8450"/>
          <w:sz w:val="18"/>
        </w:rPr>
        <w:t>GROWTH SLEEVE · 2026-07-19 · Inspire: 37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Xeris Biopharma Holdings, Inc. is a Chicago-based specialty pharmaceutical company focused on endocrinology, diabetes, and select rare diseases. The company commercializes three FDA-approved products — Recorlev (endogenous Cushing's syndrome), Gvoke (ready-to-use liquid glucagon for severe hypoglycemia), and Keveyis (primary periodic paralysis) — built on its proprietary XeriSol and XeriJect ready-to-use injectable formulation platforms.</w:t>
      </w:r>
    </w:p>
    <w:p>
      <w:r>
        <w:rPr>
          <w:rFonts w:ascii="Calibri" w:hAnsi="Calibri"/>
          <w:b/>
          <w:color w:val="6E8450"/>
          <w:sz w:val="18"/>
        </w:rPr>
        <w:t>450 Employees · https://www.xerispharma.com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Recorlev drove a transformative inflection — Q1 FY2026 net revenue nearly doubled (+95% YoY) to $50M and total product revenue grew 43% YoY to over $82M, flipping the company from a $9.2M net loss to $2.2M net income, a single significant launch that opened a durable new revenue stream [1]. AI Deployment (0/2): No evidence found of AI-powered drug discovery, manufacturing, or commercial deployment. Market Share (1/2): Recorlev and Gvoke are meaningful players in narrow niches (Cushing's syndrome, glucagon rescue) but face direct named competition and no dominant share data was identified [2]. Product Pipeline (2/2): XP-8121, a once-weekly subcutaneous hypothyroidism injection built on the XeriSol platform, is Phase 3-ready with initiation targeted in 2026 and management-cited peak sales potential of $1-3B [1]. R&amp;D Intensity (0/1): No R&amp;D-as-%-of-revenue disclosure relative to peers was found in available sources.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Xeris's stated mission — improving patient lives through innovative, ready-to-use therapeutic medicines for rare and serious endocrine conditions — is clear and product-relevant but reads as standard specialty-pharma language rather than a distinctive, decades-validated purpose [2]. Community Impact (0/2): No evidence of charitable foundation, patient-assistance programs with disclosed scale, or community investment was found. Employee Retention (0/2): No tenure or voluntary-turnover data is publicly available. Insider Buying (0/2): Recent Form 4 filings show net insider selling — CFO-level officer sold ~45,000 shares in early July 2026 and another officer sold 90,000 shares for $722,700 — with zero offsetting insider purchases in the trailing 90 days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(growth weights, ROE and Forward PEG unavailable and excluded). D/E of 19.9% is well under the 70% target (score 1.0), a dramatic improvement from the near-zero-equity balance sheet of prior quarters as retained earnings turned positive. Revenue growth is explosive — 41.5% TTM YoY and ~48.6% 5-year CAGR, both saturating their targets (score 1.0 each, CAGR double-weighted). Forward P/E of 72.3 is far above the 60 floor, scoring 0 and reflecting a market pricing in continued Recorlev/XP-8121 upside well ahead of current earnings. Profit margin of 3.81% (TTM) is a major improvement from -27% in FY2024 but still far below the 20% target (score 0.19). Liquidity is not a constraint — $8.80 share price x ~2.33M average daily volume = ~$20.5M daily dollar volume, comfortably above the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Xeris shows a genuine, product-consistent purpose around underserved rare-endocrine patients and has made a real strategic bet on its XeriSol platform beyond its first approved drug, but as a young, single-catalyst company (Recorlev) with recent net insider selling and no disclosed culture or community-impact data, it has not yet been tested through a full market cycle the way Sinek's exemplar companies have.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mission to serve rare and underserved endocrine patient populations through ready-to-use injectable formulations connects three approved products (Recorlev, Gvoke, Keveyis) and the pipeline (XP-8121) to a consistent thesis, and management explicitly frames 2026 as a 'pivotal year' for extending that platform, but the company is too young (commercial scale-up largely since 2019) to show the purpose surviving a full leadership or market crisis cycle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major layoffs, restructurings, or culture red flags were identified, and leadership has been stable with CEO John Shannon in an executive role since 2017 (recently also named Board Chair), consistent with an adequately stable organization, but no specific tenure, turnover, or employee-sentiment data exists to support a higher score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Available management commentary discusses competitive dynamics in Cushing's syndrome and glucagon rescue in operational terms (payer friction, patent defense) but no evidence was found of language framing competitors as sources of self-improvement rather than threats to be litigated against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Xeris evolved from a single glucagon-rescue product (Gvoke) into a three-product portfolio spanning Cushing's syndrome and periodic paralysis, and is now extending its XeriSol platform into hypothyroidism (XP-8121) — real diversification, but incremental expansion of an existing platform rather than a transformative pivot into a new business model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is investing in a Phase 3 program (XP-8121) and retired ~$23M of convertible notes to strengthen the balance sheet ahead of near-term earnings, and is litigating to protect Recorlev's exclusivity rather than accepting near-term margin erosion from generic entry — one clear example of prioritizing long-term capability, but no track record yet of costlier multi-cycle bets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Xeris Biopharma has reached a genuine inflection point: Recorlev net revenue nearly doubled YoY in Q1 FY2026 to $50M, total product revenue grew 43% to over $82M, and the company swung from a $9.2M net loss to $2.2M net income with gross margins of 87% [1]. Full-year 2026 guidance of $380-390M implies &gt;30% growth at the midpoint, and the balance sheet has improved dramatically with D/E now under 20% after retiring $23M of convertible notes and equity turning positive [1][2]. The pipeline is not a one-drug story — XP-8121, a once-weekly hypothyroidism injection built on the same XeriSol platform, is Phase 3-ready in 2026 with management-cited $1-3B peak sales potential, and Xeris is actively litigating to defend Recorlev's patent exclusivity against generic entrants [1].</w:t>
      </w:r>
    </w:p>
    <w:p>
      <w:pPr>
        <w:spacing w:after="120"/>
      </w:pPr>
      <w:r>
        <w:rPr>
          <w:rFonts w:ascii="Calibri" w:hAnsi="Calibri"/>
          <w:b w:val="0"/>
          <w:color w:val="3A4A28"/>
          <w:sz w:val="20"/>
        </w:rPr>
        <w:t>The bear case centers on valuation and evidence gaps: at a 72x forward P/E against a still-thin 3.81% TTM profit margin, the stock is priced for flawless execution on both Recorlev sustaining &gt;90% growth and XP-8121 successfully clearing Phase 3, a binary-ish bet for a company with only three approved products [4]. Recent insider activity is a yellow flag — multiple executives have sold shares in 2026 with zero offsetting purchases disclosed, and narrow patient populations plus supplier concentration risk in outsourced manufacturing leave limited room for execution missteps [2][3]. No public data exists on employee retention, community investment, or R&amp;D intensity relative to peers, meaning the Inspiration and Innovation scores are conservatively bounded by an absence of evidence rather than negative findings.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XP-8121 Phase 3 initiation in 2026 for hypothyroidism, a $1-3B peak sales opportunity that would diversify revenue beyond Recorlev</w:t>
      </w:r>
    </w:p>
    <w:p>
      <w:pPr>
        <w:spacing w:before="40" w:after="40"/>
        <w:ind w:left="283"/>
      </w:pPr>
      <w:r>
        <w:rPr>
          <w:rFonts w:ascii="Calibri" w:hAnsi="Calibri"/>
          <w:b/>
          <w:color w:val="4A6B25"/>
          <w:sz w:val="20"/>
        </w:rPr>
        <w:t xml:space="preserve">2. </w:t>
      </w:r>
      <w:r>
        <w:rPr>
          <w:rFonts w:ascii="Calibri" w:hAnsi="Calibri"/>
          <w:b w:val="0"/>
          <w:color w:val="3A4A28"/>
          <w:sz w:val="20"/>
        </w:rPr>
        <w:t>Continued Recorlev prescriber-base expansion sustaining 40%+ revenue growth toward the $380-390M FY2026 guidance range</w:t>
      </w:r>
    </w:p>
    <w:p>
      <w:pPr>
        <w:spacing w:before="40" w:after="40"/>
        <w:ind w:left="283"/>
      </w:pPr>
      <w:r>
        <w:rPr>
          <w:rFonts w:ascii="Calibri" w:hAnsi="Calibri"/>
          <w:b/>
          <w:color w:val="4A6B25"/>
          <w:sz w:val="20"/>
        </w:rPr>
        <w:t xml:space="preserve">3. </w:t>
      </w:r>
      <w:r>
        <w:rPr>
          <w:rFonts w:ascii="Calibri" w:hAnsi="Calibri"/>
          <w:b w:val="0"/>
          <w:color w:val="3A4A28"/>
          <w:sz w:val="20"/>
        </w:rPr>
        <w:t>Favorable resolution of the Recorlev patent infringement lawsuit, protecting exclusivity and pricing power in Cushing's syndrome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72x forward P/E against a 3.81% profit margin leaves no valuation cushion if Recorlev growth decelerates or XP-8121 Phase 3 data disappoints</w:t>
      </w:r>
    </w:p>
    <w:p>
      <w:pPr>
        <w:spacing w:before="40" w:after="40"/>
        <w:ind w:left="283"/>
      </w:pPr>
      <w:r>
        <w:rPr>
          <w:rFonts w:ascii="Calibri" w:hAnsi="Calibri"/>
          <w:b/>
          <w:color w:val="4A6B25"/>
          <w:sz w:val="20"/>
        </w:rPr>
        <w:t xml:space="preserve">2. </w:t>
      </w:r>
      <w:r>
        <w:rPr>
          <w:rFonts w:ascii="Calibri" w:hAnsi="Calibri"/>
          <w:b w:val="0"/>
          <w:color w:val="3A4A28"/>
          <w:sz w:val="20"/>
        </w:rPr>
        <w:t>Recent net insider selling across multiple executives with no offsetting buying signals limited near-term conviction from leadership</w:t>
      </w:r>
    </w:p>
    <w:p>
      <w:pPr>
        <w:spacing w:before="40" w:after="40"/>
        <w:ind w:left="283"/>
      </w:pPr>
      <w:r>
        <w:rPr>
          <w:rFonts w:ascii="Calibri" w:hAnsi="Calibri"/>
          <w:b/>
          <w:color w:val="4A6B25"/>
          <w:sz w:val="20"/>
        </w:rPr>
        <w:t xml:space="preserve">3. </w:t>
      </w:r>
      <w:r>
        <w:rPr>
          <w:rFonts w:ascii="Calibri" w:hAnsi="Calibri"/>
          <w:b w:val="0"/>
          <w:color w:val="3A4A28"/>
          <w:sz w:val="20"/>
        </w:rPr>
        <w:t>Narrow patient populations, payer friction, and outsourced/concentrated component manufacturing create execution and supply risk with limited diversification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Xeris's core business — manufacturing and commercializing FDA-approved injectable drugs under composition-of-matter and formulation patents, sold through payer-negotiated specialty pharmacy channels — is structurally immune to AI substitution; no AI tool can replicate regulatory approval, physical drug manufacturing, or patient-specific prescribing relationships [1][2]. The company is actively defending its moat, filing a Recorlev patent infringement lawsuit in March 2026 against would-be generic entrants, a non-AI competitive threat but one that underscores the durability of the regulatory barrier [1]. AI Opportunity (0/1): No evidence was found that Xeris uses AI in drug discovery, manufacturing, or commercial operations, so no tiebreaker point is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Xeris Biopharma Q1 FY2026 Earnings Release and FY2026 Guidance, xerispharma.com / SEC 8-K, May 2026</w:t>
      </w:r>
    </w:p>
    <w:p>
      <w:pPr>
        <w:spacing w:before="20" w:after="20"/>
        <w:ind w:left="170"/>
      </w:pPr>
      <w:r>
        <w:rPr>
          <w:rFonts w:ascii="Calibri" w:hAnsi="Calibri"/>
          <w:b/>
          <w:color w:val="4A6B25"/>
          <w:sz w:val="15"/>
        </w:rPr>
        <w:t xml:space="preserve">2. </w:t>
      </w:r>
      <w:r>
        <w:rPr>
          <w:rFonts w:ascii="Calibri" w:hAnsi="Calibri"/>
          <w:b w:val="0"/>
          <w:color w:val="3A4A28"/>
          <w:sz w:val="17"/>
        </w:rPr>
        <w:t>Xeris Biopharma Leadership, Pipeline, and Analyst Day Disclosures — xerispharma.com, 2025-2026</w:t>
      </w:r>
    </w:p>
    <w:p>
      <w:pPr>
        <w:spacing w:before="20" w:after="20"/>
        <w:ind w:left="170"/>
      </w:pPr>
      <w:r>
        <w:rPr>
          <w:rFonts w:ascii="Calibri" w:hAnsi="Calibri"/>
          <w:b/>
          <w:color w:val="4A6B25"/>
          <w:sz w:val="15"/>
        </w:rPr>
        <w:t xml:space="preserve">3. </w:t>
      </w:r>
      <w:r>
        <w:rPr>
          <w:rFonts w:ascii="Calibri" w:hAnsi="Calibri"/>
          <w:b w:val="0"/>
          <w:color w:val="3A4A28"/>
          <w:sz w:val="17"/>
        </w:rPr>
        <w:t>Xeris Biopharma Form 4 Insider Trading Filings — MarketBeat, StockTitan,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XERS Financials and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