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ZION</w:t>
      </w:r>
      <w:r>
        <w:rPr>
          <w:rFonts w:ascii="Calibri" w:hAnsi="Calibri"/>
          <w:b/>
          <w:color w:val="1A2010"/>
          <w:sz w:val="40"/>
        </w:rPr>
        <w:t xml:space="preserve">  Zions Bancorporation, National Association</w:t>
      </w:r>
    </w:p>
    <w:p>
      <w:pPr>
        <w:spacing w:after="120"/>
      </w:pPr>
      <w:r>
        <w:rPr>
          <w:rFonts w:ascii="Calibri" w:hAnsi="Calibri"/>
          <w:b/>
          <w:color w:val="6E8450"/>
          <w:sz w:val="18"/>
        </w:rPr>
        <w:t>DIVIDEND SLEEVE · 2026-07-21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Regional Banking · NASDAQ · United States</w:t>
      </w:r>
    </w:p>
    <w:p>
      <w:pPr>
        <w:spacing w:after="80"/>
      </w:pPr>
      <w:r>
        <w:rPr>
          <w:rFonts w:ascii="Calibri" w:hAnsi="Calibri"/>
          <w:b w:val="0"/>
          <w:color w:val="3A4A28"/>
          <w:sz w:val="20"/>
        </w:rPr>
        <w:t>Zions Bancorporation, National Association is a regional bank holding company operating as a 'Collection of Great Banks' with local brand names across the Western United States, including Zions Bank, Amegy Bank, California Bank &amp; Trust, National Bank of Arizona, Nevada State Bank, and Vectra Bank Colorado. With approximately $90 billion in total assets, $76.9 billion in deposits, and $61.3 billion in loans, the company provides commercial and retail banking, mortgage lending, and wealth management services. Completed a landmark core banking modernization on TCS BaNCS in 2024. Founded in 1873, headquartered in Salt Lake City, Utah.</w:t>
      </w:r>
    </w:p>
    <w:p>
      <w:r>
        <w:rPr>
          <w:rFonts w:ascii="Calibri" w:hAnsi="Calibri"/>
          <w:b/>
          <w:color w:val="6E8450"/>
          <w:sz w:val="18"/>
        </w:rPr>
        <w:t>10,000 Employees · https://www.zionsbancorporation.com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Zions completed a landmark core banking modernization in 2024, migrating to the TCS BaNCS platform -- one of the first major US banks to fully replace its legacy core systems [4]. This multi-year transformation positions Zions to develop and deploy modern digital banking capabilities faster than peers still running decades-old core technology. The migration reduced operational complexity and opened new capability pathways. AI Deployment (0/2): Zions has established an AI Governance Committee and AI Responsible Use Policy under CRO Christopher Kyriakakis, and launched the Innovate2Optimize program to develop risk management solutions using AI [2]. However, no AI products are shipping to customers with measurable revenue or efficiency gains reported. Market Share (1/2): Zions has gained over 150 basis points of market share across its key Western US markets since 2022, demonstrating meaningful share gains in a fragmented regional banking market [4]. The 'Collection of Great Banks' model with local branding drives customer loyalty. Product Pipeline (1/2): Plans to begin experimenting with stablecoins and tokenized deposits in late 2026, leveraging the modern core infrastructure [3]. New CIO Margaret Mayer and Chief Transformation Officer Ken Collins are positioned to drive technology innovation. However, timelines remain general. R&amp;D Intensity (0/1): Banks do not report R&amp;D spending separately; technology investment is embedded in operating expenses.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Zions' stated purpose is 'Our goal is to create value. Value for our customers. Value for the communities we serve. Value for our employees. And, most importantly, value for our shareholders' [4]. This is generic and boilerplate -- interchangeable with virtually any public company. The emphasis on shareholder value as 'most important' is explicitly finite in orientation. Community Impact (1/2): The Zions Bancorporation Foundation provides approximately $515,467 in annual charitable giving [6]. The Zions Bank Charitable Giving Program supports nonprofits in Idaho, Utah, and Wyoming, with local employees empowered to determine donation distributions [6]. Zions also sponsors Club Ability's AI Innovation Challenge for students [2]. General corporate philanthropy aligned with community banking mission. Employee Retention (1/2): Harris Simmons has served as Chairman and CEO since 2007, providing 19 years of consistent leadership [4]. Jennifer Smith, who recently departed, had a 20-year career at Zions [2]. This leadership tenure suggests a stable organization, though no specific employee turnover data or culture metrics are publicly available. Insider Buying (2/2): CEO Harris H. Simmons invested $265,635 in 4,500 shares of ZION on February 24, 2026, at $59.03 per share [6]. This represents meaningful insider conviction by the CEO, buying in the open market with personal funds.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distance-from-target methodology. Zions demonstrates exceptional financial health for a regional bank. D/E of 32.14% is well below the 70% target, reflecting conservative balance sheet management with $4B cash against $3B debt [1][5]. ROE of 14.12% is slightly below the 15% target but strong for a regional bank [5]. Forward P/E of 9.49 is deeply undervalued relative to the 20 target [5]. Profit margin of 27% demonstrates strong earnings conversion [1]. Annual revenue growth of 8.34% in 2025 is below the 10% target but reflects healthy expansion [4]. The 5-year revenue CAGR of approximately 4% is the weakest metric, reflecting the net interest income compression cycle of 2022-2023 that has since reversed [4]. Dividend metrics are strong: payout ratio of approximately 30% is well below the 40% target, 15 consecutive years of payments, 13 consecutive years of growth, and an estimated 4% 5-year dividend growth CAGR [5][6]. Net loan charge-offs of just 0.03% and CET1 ratio of 11.5% underscore credit quality and capital strength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Zions operates with a mixed infinite-finite orientation. The company's 'Collection of Great Banks' philosophy -- maintaining local brand names and management teams rather than consolidating under a single national brand -- demonstrates genuine long-term thinking about customer relationships and community presence. CEO Harris Simmons' 19-year tenure provides leadership stability. The courageous multi-year core banking modernization invested in future capability over near-term earnings. However, the stated mission is explicitly focused on shareholder value creation (finite), and the company's competitive language does not suggest deep infinite game awareness.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Zions' stated purpose centers on 'creating value' for customers, communities, employees, and 'most importantly, shareholders' [4]. This is a finite game statement by definition -- shareholder value is a measurable, competitive outcome, not an enduring cause. The 'Collection of Great Banks' philosophy of local community banking comes closer to a genuine cause, but it is not articulated as such by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stability is strong: Harris Simmons has been CEO for 19 years, and the recent technology leadership transition was orderly (Margaret Mayer as CIO, Ken Collins as Chief Transformation Officer) following Jennifer Smith's planned departure after a 20-year career [2]. The Everyone Counts Council provides employee voice to executive leadership [4]. However, no specific employee retention data, turnover rates, or culture survey results are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Zions' 'Collection of Great Banks' strategy implicitly acknowledges that national banks have scale advantages while choosing to compete on local relationships and community expertise instead [4]. Rather than trying to 'beat' JPMorgan or Bank of America, Zions focuses on deepening its presence in Western US markets -- gaining 150+ bps of share through superior local service rather than aggressive competitive tactics. This is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multi-year core banking modernization on TCS BaNCS represents significant strategic flexibility -- Zions was willing to endure the operational risk and cost of completely replacing its core technology infrastructure [4]. The company is also exploring stablecoins and tokenized deposits as next-generation financial products [3]. These changes are meaningful but incremental rather than transformative -- Zions has always been a community bank and continues to be one.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core banking modernization was a genuinely courageous multi-year investment. Replacing a legacy core system is one of the riskiest technology initiatives in banking -- many banks have attempted and failed. Zions committed to TCS BaNCS and completed the migration in 2024, positioning itself ahead of competitors still running decades-old systems [4]. This represents a meaningful sacrifice of near-term resources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Zions Bancorporation delivered strong Q1 2026 results with net earnings of $232 million ($1.56 per share), up 37% year-over-year, driven by net interest income expansion to $662 million (NIM of 3.27%) and 10% customer-related noninterest income growth [1]. The bank's completed core modernization on TCS BaNCS gives it a structural technology advantage over regional peers, enabling faster product development and lower operating costs. At a forward P/E of 9.49 with a 2.56% dividend yield and 30% payout ratio, the stock trades at a significant discount to historical banking multiples. The balance sheet is fortress-quality: CET1 of 11.5%, net charge-offs of just 0.03%, and tangible book value per share up 19% to $41.75 [1]. CEO insider buying of $265K in February 2026 signals management conviction [6].</w:t>
      </w:r>
    </w:p>
    <w:p>
      <w:pPr>
        <w:spacing w:after="120"/>
      </w:pPr>
      <w:r>
        <w:rPr>
          <w:rFonts w:ascii="Calibri" w:hAnsi="Calibri"/>
          <w:b w:val="0"/>
          <w:color w:val="3A4A28"/>
          <w:sz w:val="20"/>
        </w:rPr>
        <w:t>The bear case centers on structural challenges facing regional banking. The 5-year revenue CAGR of just 4% reflects the slow-growth nature of traditional banking, and Zions' Western US geographic concentration creates vulnerability to regional economic downturns [4]. ROE of 14.12% is below the 15% target, reflecting the capital intensity of banking. While Zions is exploring AI and digital innovation, it has not yet monetized these capabilities, and fintech competitors continue to encroach on traditional banking revenue streams. The company's explicitly shareholder-value-focused mission and finite game orientation suggest management may prioritize near-term returns over transformative long-term investments. Dividend growth of approximately 4% annually barely exceeds inflation, lagging more aggressive dividend growers in the sector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Monetization of the TCS BaNCS core platform advantage through faster digital product launches and lower cost-to-serve, potentially driving efficiency ratio below 60% from current 65%</w:t>
      </w:r>
    </w:p>
    <w:p>
      <w:pPr>
        <w:spacing w:before="40" w:after="40"/>
        <w:ind w:left="283"/>
      </w:pPr>
      <w:r>
        <w:rPr>
          <w:rFonts w:ascii="Calibri" w:hAnsi="Calibri"/>
          <w:b/>
          <w:color w:val="4A6B25"/>
          <w:sz w:val="20"/>
        </w:rPr>
        <w:t xml:space="preserve">2. </w:t>
      </w:r>
      <w:r>
        <w:rPr>
          <w:rFonts w:ascii="Calibri" w:hAnsi="Calibri"/>
          <w:b w:val="0"/>
          <w:color w:val="3A4A28"/>
          <w:sz w:val="20"/>
        </w:rPr>
        <w:t>Successful launch of stablecoin and tokenized deposit capabilities in late 2026, positioning Zions as a first-mover in next-generation banking infrastructure</w:t>
      </w:r>
    </w:p>
    <w:p>
      <w:pPr>
        <w:spacing w:before="40" w:after="40"/>
        <w:ind w:left="283"/>
      </w:pPr>
      <w:r>
        <w:rPr>
          <w:rFonts w:ascii="Calibri" w:hAnsi="Calibri"/>
          <w:b/>
          <w:color w:val="4A6B25"/>
          <w:sz w:val="20"/>
        </w:rPr>
        <w:t xml:space="preserve">3. </w:t>
      </w:r>
      <w:r>
        <w:rPr>
          <w:rFonts w:ascii="Calibri" w:hAnsi="Calibri"/>
          <w:b w:val="0"/>
          <w:color w:val="3A4A28"/>
          <w:sz w:val="20"/>
        </w:rPr>
        <w:t>Continued NIM expansion above 3.27% as the interest rate environment stabilizes, driving net interest income growth above the 10% YoY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Geographic concentration in Western US markets creates vulnerability to regional economic downturns, particularly in Texas (Amegy Bank) and California (California Bank &amp; Trust) commercial real estate markets</w:t>
      </w:r>
    </w:p>
    <w:p>
      <w:pPr>
        <w:spacing w:before="40" w:after="40"/>
        <w:ind w:left="283"/>
      </w:pPr>
      <w:r>
        <w:rPr>
          <w:rFonts w:ascii="Calibri" w:hAnsi="Calibri"/>
          <w:b/>
          <w:color w:val="4A6B25"/>
          <w:sz w:val="20"/>
        </w:rPr>
        <w:t xml:space="preserve">2. </w:t>
      </w:r>
      <w:r>
        <w:rPr>
          <w:rFonts w:ascii="Calibri" w:hAnsi="Calibri"/>
          <w:b w:val="0"/>
          <w:color w:val="3A4A28"/>
          <w:sz w:val="20"/>
        </w:rPr>
        <w:t>5-year revenue CAGR of 4% reflects the structural low-growth challenge facing traditional banking, with fintech competitors capturing an increasing share of payment, lending, and advisory revenue</w:t>
      </w:r>
    </w:p>
    <w:p>
      <w:pPr>
        <w:spacing w:before="40" w:after="40"/>
        <w:ind w:left="283"/>
      </w:pPr>
      <w:r>
        <w:rPr>
          <w:rFonts w:ascii="Calibri" w:hAnsi="Calibri"/>
          <w:b/>
          <w:color w:val="4A6B25"/>
          <w:sz w:val="20"/>
        </w:rPr>
        <w:t xml:space="preserve">3. </w:t>
      </w:r>
      <w:r>
        <w:rPr>
          <w:rFonts w:ascii="Calibri" w:hAnsi="Calibri"/>
          <w:b w:val="0"/>
          <w:color w:val="3A4A28"/>
          <w:sz w:val="20"/>
        </w:rPr>
        <w:t>ROE of 14.12% remains below the 15% target despite strong recent performance, reflecting the capital-intensive nature of banking and regulatory capital requirements that constrain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Banking is moderately exposed to AI disruption. AI-powered fintech platforms can automate lending decisions, customer service (chatbots replacing branch interactions), fraud detection, and routine financial advisory services -- all core banking functions. However, Zions' community banking model with local brand names and relationship-driven commercial banking provides meaningful defensive moats that AI cannot easily replicate: regulatory requirements (FDIC insurance, state banking charters), trust relationships with commercial customers, and physical presence in Western US markets [4]. The completed core banking modernization on TCS BaNCS positions Zions ahead of peers in adopting AI tools rather than being disrupted by them [2][3]. AI Opportunity (1/1): Zions is actively deploying AI through its Innovate2Optimize program, AI Governance Committee, and AI Responsible Use Policy [2]. While no specific revenue figures are attributed to AI, the bank is generating operational value from AI-driven risk management solutions and is positioned to experiment with stablecoins and tokenized deposits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Zions Bancorporation Q1 2026 Earnings Release -- SEC Form 8-K, April 2026</w:t>
      </w:r>
    </w:p>
    <w:p>
      <w:pPr>
        <w:spacing w:before="20" w:after="20"/>
        <w:ind w:left="170"/>
      </w:pPr>
      <w:r>
        <w:rPr>
          <w:rFonts w:ascii="Calibri" w:hAnsi="Calibri"/>
          <w:b/>
          <w:color w:val="4A6B25"/>
          <w:sz w:val="15"/>
        </w:rPr>
        <w:t xml:space="preserve">2. </w:t>
      </w:r>
      <w:r>
        <w:rPr>
          <w:rFonts w:ascii="Calibri" w:hAnsi="Calibri"/>
          <w:b w:val="0"/>
          <w:color w:val="3A4A28"/>
          <w:sz w:val="17"/>
        </w:rPr>
        <w:t>Zions Bancorporation Technology Leadership Changes Press Release -- zionsbancorporation.com, March 2026</w:t>
      </w:r>
    </w:p>
    <w:p>
      <w:pPr>
        <w:spacing w:before="20" w:after="20"/>
        <w:ind w:left="170"/>
      </w:pPr>
      <w:r>
        <w:rPr>
          <w:rFonts w:ascii="Calibri" w:hAnsi="Calibri"/>
          <w:b/>
          <w:color w:val="4A6B25"/>
          <w:sz w:val="15"/>
        </w:rPr>
        <w:t xml:space="preserve">3. </w:t>
      </w:r>
      <w:r>
        <w:rPr>
          <w:rFonts w:ascii="Calibri" w:hAnsi="Calibri"/>
          <w:b w:val="0"/>
          <w:color w:val="3A4A28"/>
          <w:sz w:val="17"/>
        </w:rPr>
        <w:t>American Banker -- Zions' Revamped Tech Leadership Team Eyes AI, Stablecoins, 2026</w:t>
      </w:r>
    </w:p>
    <w:p>
      <w:pPr>
        <w:spacing w:before="20" w:after="20"/>
        <w:ind w:left="170"/>
      </w:pPr>
      <w:r>
        <w:rPr>
          <w:rFonts w:ascii="Calibri" w:hAnsi="Calibri"/>
          <w:b/>
          <w:color w:val="4A6B25"/>
          <w:sz w:val="15"/>
        </w:rPr>
        <w:t xml:space="preserve">4. </w:t>
      </w:r>
      <w:r>
        <w:rPr>
          <w:rFonts w:ascii="Calibri" w:hAnsi="Calibri"/>
          <w:b w:val="0"/>
          <w:color w:val="3A4A28"/>
          <w:sz w:val="17"/>
        </w:rPr>
        <w:t>Zions Bancorporation 2025 Annual Report (Form 10-K) -- SEC, February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ZION Key Statistics and Financial Data,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Nasdaq -- Zions Bancorporation Named Top Dividend Stock With Insider Buying,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