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ZNTL</w:t>
      </w:r>
      <w:r>
        <w:rPr>
          <w:rFonts w:ascii="Calibri" w:hAnsi="Calibri"/>
          <w:b/>
          <w:color w:val="1A2010"/>
          <w:sz w:val="40"/>
        </w:rPr>
        <w:t xml:space="preserve">  Zentalis Pharmaceuticals, Inc.</w:t>
      </w:r>
    </w:p>
    <w:p>
      <w:pPr>
        <w:spacing w:after="120"/>
      </w:pPr>
      <w:r>
        <w:rPr>
          <w:rFonts w:ascii="Calibri" w:hAnsi="Calibri"/>
          <w:b/>
          <w:color w:val="6E8450"/>
          <w:sz w:val="18"/>
        </w:rPr>
        <w:t>GROWTH SLEEVE · 2026-08-03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Zentalis Pharmaceuticals is a clinical-stage biopharmaceutical company focused on discovering and developing small molecule therapeutics for cancer treatment. Its lead candidate, azenosertib, is a potentially first-in-class WEE1 inhibitor in late-stage development for Cyclin E1-positive platinum-resistant ovarian cancer. The Phase 2 DENALI trial is expected to report topline data by year-end 2026, and the Phase 3 ASPENOVA confirmatory trial has dosed its first patient.</w:t>
      </w:r>
    </w:p>
    <w:p>
      <w:r>
        <w:rPr>
          <w:rFonts w:ascii="Calibri" w:hAnsi="Calibri"/>
          <w:b/>
          <w:color w:val="6E8450"/>
          <w:sz w:val="18"/>
        </w:rPr>
        <w:t>106 Employees · https://zentalis.com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Azenosertib is a potentially first-in-class WEE1 inhibitor with a biomarker-driven approach (Cyclin E1+) to platinum-resistant ovarian cancer, representing genuine scientific novelty in targeted oncology [1][2]. However, the company has not yet demonstrated commercial success, and the pipeline is essentially a single-asset strategy following the narrowing of its earlier multi-program platform. AI Deployment (0/2): No proprietary AI deployment in drug discovery or clinical development. The strategic collaboration with Caris Life Sciences leverages Caris's AI and machine learning for molecular profiling and patient identification, but this is a partner capability, not Zentalis-developed technology [3]. Market Share (1/2): Pre-commercial stage targeting an underserved niche — Cyclin E1+ platinum-resistant ovarian cancer has no approved targeted therapies. The biomarker-driven approach could capture meaningful share in this specific population if approved [1]. Product Pipeline (1/2): Clear near-term milestones — DENALI Phase 2 topline readout expected by year-end 2026 that could support accelerated approval. ASPENOVA Phase 3 has dosed its first patient with plans to enroll approximately 420 patients [1][2]. However, this is essentially a single-asset pipeline with no other late-stage programs. R&amp;D Intensity (1/1): Virtually all operating expenditure is R&amp;D, far exceeding industry averages — Q1 2026 operating loss of $35.4M is primarily clinical trial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Zentalis describes itself as a clinical oncology innovator focused on advancing cancer treatments. The tagline 'Where Together We Win As One' is generic corporate language interchangeable with any oncology biotech [4]. The mission does not articulate a transformative vision beyond developing cancer drugs. Community Impact (0/2): No evidence of charitable foundation, community programs, or philanthropic initiatives beyond the therapeutic mission itself [4]. Employee Retention (1/2): Significant concerns — the company cut 40% of its workforce in January 2025 to conserve cash for registrational trials. Glassdoor shows a 2.4/5 rating with severe leadership criticism predating the November 2024 CEO change. Reports cited complete C-suite turnover including 2 CMOs in 6 months, lost CFO, CSO, and multiple SVPs [5][6]. New CEO Julie Eastland (appointed November 2024, previously CEO of Harpoon Therapeutics until its acquisition by Merck) provides hope for cultural improvement, but insufficient time has passed to validate organizational recovery. Insider Buying (1/2): CEO Eastland's appointment from a successful Merck acquisition signals board confidence in the strategic direction. No specific discretionary insider buying data was identified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Debt-to-equity of approximately 18-25% is manageable, scoring at the target level (1.0) [1]. However, all profitability metrics are at floor values: ROE is deeply negative (approximately -40% to -50%), profit margin is negative (no product revenue against $35.4M quarterly operating loss), and revenue growth is undefined for a pre-revenue company [1][8]. Cash position of $211.8M as of Q1 2026 provides runway into late 2027, sufficient for the DENALI topline readout but not for a full Phase 3 commercial launch without additional capital raises [1]. Q1 2026 net loss narrowed to $(35.4)M from $(48.3)M a year earlier, reflecting cost discipline after the 2025 workforce reduction. Liquidity: 1.93M avg daily volume x $4.91 = $9.5M,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Zentalis exhibits predominantly finite-game characteristics: a company focused on surviving long enough to reach a binary clinical trial readout, having already cut 40% of staff, experienced complete C-suite turnover under the prior CEO, and facing severe historical culture challenges. The company plays to win this specific trial rather than to keep playing. New CEO Eastland's tenure is too short to have meaningfully shifted the organizational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Treating platinum-resistant ovarian cancer is a worthy therapeutic goal serving patients with limited options. However, Zentalis articulates this as a product development opportunity rather than a transformative cause [1][4]. The company's communications focus on trial milestones, accelerated approval pathways, and commercial opportunity rather than a broader vision for cancer treatment. The cause exists but does not differentiate Zentalis from any other oncology biotech.</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Severe evidence of a low-trust environment under the previous CEO. Glassdoor rating of 2.4/5 with only 1.9/5 for culture and values. Employee reviews described the prior CEO as 'incredibly passive aggressive, condescending, micromanaging and just plain mean' [5]. Complete C-suite turnover — 2 CMOs in 6 months, lost CFO, CSO, and multiple SVPs. The 40% workforce reduction in January 2025 further eroded organizational trust [6]. New CEO Julie Eastland may improve culture, but the organizational damage from prior leadership is severe and only 9 months of new leadership is insufficient to rebuild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Zentalis positions azenosertib as 'first-in-class' and frames competition primarily through differentiation language. No evidence of management acknowledging competitors' strengths as motivation for improvement [1]. The competitive framing focuses on winning the WEE1 race rather than learning from rivals in the oncology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Zentalis made a significant strategic pivot in 2024-2025, narrowing from a multi-asset oncology platform to a focused single-asset strategy around azenosertib for Cyclin E1+ ovarian cancer [6][8]. This required the painful decision to cut 40% of staff and abandon earlier-stage programs. While driven by capital constraints rather than visionary reinvention, it demonstrates willingness to make difficult strategic choices to concentrate resources on the highest-probability asset.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40% workforce reduction, while strategically necessary, reflects resource-constrained survival tactics rather than courageous long-term investment. The decision to continue the azenosertib program after the FDA partial clinical hold in June 2024 (following two patient deaths from presumed sepsis) required conviction, but the hold was lifted based on safety data, making continuation the rational path rather than a courageous one [6][8]. No evidence of leadership sacrificing short-term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Zentalis offers a high-risk, high-reward binary bet on azenosertib, a potentially first-in-class WEE1 inhibitor for Cyclin E1-positive platinum-resistant ovarian cancer — a patient population with no approved targeted therapies. Q1 2026 showed improving financials with net loss narrowing 27% to $(35.4)M from $(48.3)M a year earlier, and the pivotal ASPENOVA Phase 3 trial has dosed its first patient [1][2]. The DENALI Phase 2 topline readout expected by year-end 2026 could support accelerated approval. Cash of $211.8M provides runway into late 2027, and new CEO Julie Eastland brings experience from Harpoon Therapeutics' successful Merck acquisition [1][7].</w:t>
      </w:r>
    </w:p>
    <w:p>
      <w:pPr>
        <w:spacing w:after="120"/>
      </w:pPr>
      <w:r>
        <w:rPr>
          <w:rFonts w:ascii="Calibri" w:hAnsi="Calibri"/>
          <w:b w:val="0"/>
          <w:color w:val="3A4A28"/>
          <w:sz w:val="20"/>
        </w:rPr>
        <w:t>The bear case is substantial: Zentalis has no product revenue, a ~$347M market cap, a 2.4/5 Glassdoor rating with devastating leadership reviews predating the CEO change, complete C-suite turnover, and 40% workforce cuts [5][6]. Cash of $211.8M is declining — the company burned approximately $69M in the six months since the September 2025 cash report — and will need additional capital raises before any potential product launch, creating dilution risk [1][8]. The FDA placed partial clinical holds in 2024 after two patient deaths, raising safety concerns even though holds were later lifted. The $4.91 stock price reflects the market's skepticism that a 106-person company with severe historical cultural dysfunction can execute registrational studies against well-funded competitors. A negative DENALI readout would eliminate the investment thesis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DENALI Phase 2 topline readout by year-end 2026, potentially supporting accelerated FDA approval for azenosertib in Cyclin E1+ platinum-resistant ovarian cancer</w:t>
      </w:r>
    </w:p>
    <w:p>
      <w:pPr>
        <w:spacing w:before="40" w:after="40"/>
        <w:ind w:left="283"/>
      </w:pPr>
      <w:r>
        <w:rPr>
          <w:rFonts w:ascii="Calibri" w:hAnsi="Calibri"/>
          <w:b/>
          <w:color w:val="4A6B25"/>
          <w:sz w:val="20"/>
        </w:rPr>
        <w:t xml:space="preserve">2. </w:t>
      </w:r>
      <w:r>
        <w:rPr>
          <w:rFonts w:ascii="Calibri" w:hAnsi="Calibri"/>
          <w:b w:val="0"/>
          <w:color w:val="3A4A28"/>
          <w:sz w:val="20"/>
        </w:rPr>
        <w:t>ASPENOVA Phase 3 trial enrollment of approximately 420 patients comparing azenosertib to standard-of-care chemotherapy, providing registrational-quality evidence for broader approval</w:t>
      </w:r>
    </w:p>
    <w:p>
      <w:pPr>
        <w:spacing w:before="40" w:after="40"/>
        <w:ind w:left="283"/>
      </w:pPr>
      <w:r>
        <w:rPr>
          <w:rFonts w:ascii="Calibri" w:hAnsi="Calibri"/>
          <w:b/>
          <w:color w:val="4A6B25"/>
          <w:sz w:val="20"/>
        </w:rPr>
        <w:t xml:space="preserve">3. </w:t>
      </w:r>
      <w:r>
        <w:rPr>
          <w:rFonts w:ascii="Calibri" w:hAnsi="Calibri"/>
          <w:b w:val="0"/>
          <w:color w:val="3A4A28"/>
          <w:sz w:val="20"/>
        </w:rPr>
        <w:t>Partnership or acquisition premium from larger oncology companies seeking first-in-class WEE1 inhibitor assets — CEO Eastland's Harpoon/Merck acquisition experience could facilitate deal-making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DENALI Phase 2 data would eliminate the investment thesis for a company with no other late-stage assets, no product revenue, and declining cash reserves</w:t>
      </w:r>
    </w:p>
    <w:p>
      <w:pPr>
        <w:spacing w:before="40" w:after="40"/>
        <w:ind w:left="283"/>
      </w:pPr>
      <w:r>
        <w:rPr>
          <w:rFonts w:ascii="Calibri" w:hAnsi="Calibri"/>
          <w:b/>
          <w:color w:val="4A6B25"/>
          <w:sz w:val="20"/>
        </w:rPr>
        <w:t xml:space="preserve">2. </w:t>
      </w:r>
      <w:r>
        <w:rPr>
          <w:rFonts w:ascii="Calibri" w:hAnsi="Calibri"/>
          <w:b w:val="0"/>
          <w:color w:val="3A4A28"/>
          <w:sz w:val="20"/>
        </w:rPr>
        <w:t>Severe historical organizational instability with 2.4/5 Glassdoor rating, complete C-suite turnover under prior CEO, and 40% workforce reduction — cultural recovery under CEO Eastland is unproven after only 9 months</w:t>
      </w:r>
    </w:p>
    <w:p>
      <w:pPr>
        <w:spacing w:before="40" w:after="40"/>
        <w:ind w:left="283"/>
      </w:pPr>
      <w:r>
        <w:rPr>
          <w:rFonts w:ascii="Calibri" w:hAnsi="Calibri"/>
          <w:b/>
          <w:color w:val="4A6B25"/>
          <w:sz w:val="20"/>
        </w:rPr>
        <w:t xml:space="preserve">3. </w:t>
      </w:r>
      <w:r>
        <w:rPr>
          <w:rFonts w:ascii="Calibri" w:hAnsi="Calibri"/>
          <w:b w:val="0"/>
          <w:color w:val="3A4A28"/>
          <w:sz w:val="20"/>
        </w:rPr>
        <w:t>Capital risk — $211.8M cash is declining and will be insufficient to fund both ASPENOVA Phase 3 completion and commercial launch without additional equity raises, creating significant dilution risk at the current $4.91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Zentalis develops small molecule oncology therapeutics requiring FDA-regulated clinical trials, GMP manufacturing, and physician adoption — all structurally protected from AI substitution [1]. The regulatory pathway from IND through Phase 1-3 trials to NDA/BLA submission cannot be bypassed by AI, and the physical production and distribution of pharmaceuticals requires specialized manufacturing infrastructure. The biomarker-driven approach (Cyclin E1+) involves molecular diagnostics that complement rather than compete with AI capabilities. However, AI-accelerated drug discovery from larger pharmaceutical competitors could compress Zentalis's first-mover advantage in the WEE1 inhibitor space, and AI-driven clinical trial optimization could enable faster competing programs from well-funded peers [3]. AI Opportunity (0/1): No direct AI revenue. The Caris Life Sciences partnership utilizes AI for patient identification but generates no AI-specific revenue for Zentalis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Zentalis Pharmaceuticals Q1 2026 Financial Results and Clinical Progress — IR.zentalis.com, PRNewswire,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Zentalis Pharmaceuticals Phase 3 ASPENOVA Trial Initiation and DENALI Phase 2 Update — TradingView, SEC 10-Q, May 2026</w:t>
      </w:r>
    </w:p>
    <w:p>
      <w:pPr>
        <w:spacing w:before="20" w:after="20"/>
        <w:ind w:left="170"/>
      </w:pPr>
      <w:r>
        <w:rPr>
          <w:rFonts w:ascii="Calibri" w:hAnsi="Calibri"/>
          <w:b/>
          <w:color w:val="4A6B25"/>
          <w:sz w:val="15"/>
        </w:rPr>
        <w:t xml:space="preserve">3. </w:t>
      </w:r>
      <w:r>
        <w:rPr>
          <w:rFonts w:ascii="Calibri" w:hAnsi="Calibri"/>
          <w:b w:val="0"/>
          <w:color w:val="3A4A28"/>
          <w:sz w:val="17"/>
        </w:rPr>
        <w:t>Zentalis Pharmaceuticals and Caris Life Sciences Strategic Collaboration — AI-Driven Patient Identification</w:t>
      </w:r>
    </w:p>
    <w:p>
      <w:pPr>
        <w:spacing w:before="20" w:after="20"/>
        <w:ind w:left="170"/>
      </w:pPr>
      <w:r>
        <w:rPr>
          <w:rFonts w:ascii="Calibri" w:hAnsi="Calibri"/>
          <w:b/>
          <w:color w:val="4A6B25"/>
          <w:sz w:val="15"/>
        </w:rPr>
        <w:t xml:space="preserve">4. </w:t>
      </w:r>
      <w:r>
        <w:rPr>
          <w:rFonts w:ascii="Calibri" w:hAnsi="Calibri"/>
          <w:b w:val="0"/>
          <w:color w:val="3A4A28"/>
          <w:sz w:val="17"/>
        </w:rPr>
        <w:t>Zentalis Pharmaceuticals Corporate Website — About Us, Culture &amp; Careers,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Zentalis Pharmaceuticals Employee Reviews (22 reviews, 2.4/5 rating),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Fierce Biotech — Zentalis Lays Off 40% of Staff to Fund Registrational Trial, January 2025</w:t>
      </w:r>
    </w:p>
    <w:p>
      <w:pPr>
        <w:spacing w:before="20" w:after="20"/>
        <w:ind w:left="170"/>
      </w:pPr>
      <w:r>
        <w:rPr>
          <w:rFonts w:ascii="Calibri" w:hAnsi="Calibri"/>
          <w:b/>
          <w:color w:val="4A6B25"/>
          <w:sz w:val="15"/>
        </w:rPr>
        <w:t xml:space="preserve">7. </w:t>
      </w:r>
      <w:r>
        <w:rPr>
          <w:rFonts w:ascii="Calibri" w:hAnsi="Calibri"/>
          <w:b w:val="0"/>
          <w:color w:val="3A4A28"/>
          <w:sz w:val="17"/>
        </w:rPr>
        <w:t>Zentalis Pharmaceuticals Executive Leadership Changes — CEO Julie Eastland Appointment, November 2024</w:t>
      </w:r>
    </w:p>
    <w:p>
      <w:pPr>
        <w:spacing w:before="20" w:after="20"/>
        <w:ind w:left="170"/>
      </w:pPr>
      <w:r>
        <w:rPr>
          <w:rFonts w:ascii="Calibri" w:hAnsi="Calibri"/>
          <w:b/>
          <w:color w:val="4A6B25"/>
          <w:sz w:val="15"/>
        </w:rPr>
        <w:t xml:space="preserve">8. </w:t>
      </w:r>
      <w:r>
        <w:rPr>
          <w:rFonts w:ascii="Calibri" w:hAnsi="Calibri"/>
          <w:b w:val="0"/>
          <w:color w:val="3A4A28"/>
          <w:sz w:val="17"/>
        </w:rPr>
        <w:t>Zentalis Pharmaceuticals Full Year 2025 Financial Results and Cash Position Guidance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