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AAON</w:t>
      </w:r>
      <w:r>
        <w:rPr>
          <w:rFonts w:ascii="Calibri" w:hAnsi="Calibri"/>
          <w:b/>
          <w:color w:val="1A2010"/>
          <w:sz w:val="40"/>
        </w:rPr>
        <w:t xml:space="preserve">  AAON, Inc.</w:t>
      </w:r>
    </w:p>
    <w:p>
      <w:pPr>
        <w:spacing w:after="120"/>
      </w:pPr>
      <w:r>
        <w:rPr>
          <w:rFonts w:ascii="Calibri" w:hAnsi="Calibri"/>
          <w:b/>
          <w:color w:val="6E8450"/>
          <w:sz w:val="18"/>
        </w:rPr>
        <w:t>GROWTH SLEEVE · 2026-05-06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AAON, Inc. engineers, manufactures, and sells premium HVAC solutions including rooftop units, data center cooling systems, cleanroom systems, air handling units, and geothermal heat pumps. The company operates through AAON Oklahoma, AAON Coil Products, and BASX segments. BASX specializes in customized air-side and liquid cooling solutions for hyperscale data centers, representing the fastest-growing segment of the business.</w:t>
      </w:r>
    </w:p>
    <w:p>
      <w:r>
        <w:rPr>
          <w:rFonts w:ascii="Calibri" w:hAnsi="Calibri"/>
          <w:b/>
          <w:color w:val="6E8450"/>
          <w:sz w:val="18"/>
        </w:rPr>
        <w:t>5,897 Employees · https://www.aaon.com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AAON's acquisition of BASX Solutions transformed the company from a traditional HVAC manufacturer into a data center cooling leader. BASX revenue surged 138.8% YoY in Q4 2025, and 60% of the $1.83B record backlog is now data center-focused [1]. The 787,000 sq ft Memphis facility expansion doubled BASX production capacity, representing a genuine business model expansion from commercial HVAC into AI infrastructure cooling. AI Deployment (1/2): AAON is deploying AI-enhanced building automation and smart controls across its product line, integrating IoT sensors and predictive maintenance capabilities. The company's products enable AI-optimized energy management in data centers and commercial buildings, though this is AI-enabling hardware rather than AI software [2]. Market Share (2/2): AAON is a category leader in custom-engineered data center cooling, with BASX backlog up 141.3% and production capacity more than doubled [1]. The company's configurable approach differentiates it from commodity HVAC makers, and data center operators choose AAON for precision cooling requirements that off-the-shelf solutions cannot meet. Pipeline (2/2): Management guided 18-20% revenue growth for 2026 with 29-31% gross margins, supported by $1.83B record backlog [1]. Memphis facility commissioning provides capacity to convert backlog into revenue through 2027. R&amp;D Intensity (0/1): R&amp;D spending is moderate relative to revenue; AAON's competitive advantage comes from engineering expertise and manufacturing capability rather than pure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AAON's purpose centers on providing 'premier, configurable HVAC solutions that bring long-term value to customers and owners' [2]. This is clear and identifies what the company does and for whom, but it lacks aspirational vision — it could describe any quality-focused manufacturer. The ESG commitment to 80% non-fossil-fuel products by 2030 adds intentionality. Community Impact (1/2): AAON publishes annual ESG sustainability reports and has set specific environmental targets — 63% of units produced are non-fossil-fuel consuming, progressing toward 80% by 2030 [3]. Board governance is 50% diverse and total workforce 68% diverse. However, no distinctive community programs or foundation activity are evident. Employee Retention (1/2): Glassdoor rating of approximately 3.4/5 with 77% recommending to a friend is adequate but not exceptional [2]. Mixed reviews cite management concerns in some departments. The company has 5,897 employees and recently aligned executive leadership around business units under new President Matt Tobolski (appointed May 2025). Insider Buying (2/2): AAON maintains a payout ratio of 31% with a consistent dividend, and the company has grown from its 1987 founding in Tulsa, Oklahoma with strong insider alignment. Leadership restructuring under Tobolski signals long-term commitment to the data center pivot.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AAON's financials show strong revenue momentum with temporarily compressed margins due to capacity investment. FY2025 revenue hit a record $1.44B (+20.1% YoY), with 5-year revenue CAGR of approximately 19% [1]. D/E of 46.6% is healthy. ROE of 12.5% is below the 15% target but improving as margins recover from the Memphis ramp. Forward P/E of 31.6x and PEG of 3.01 reflect premium valuation for data center growth exposure. Profit margin of 7.5% is depressed by $417M in capacity investments and ERP implementation costs — management guides 29-31% gross margins for 2026, suggesting margin recovery is underway [1]. FCF of -$236M reflects heavy capex that should normalize as Memphis commissioning completes. The PEG ratio of 3.01 scores at floor (0) and weighs heavily as a 2x-weighted growth metric. Liquidity floor cleared: 854K avg vol x $93.66 = $80.0M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AAON demonstrates meaningful infinite-game characteristics through its 39-year history, consistent investment in engineering capability, and willingness to transform its business model via the BASX acquisition. The company's pivot toward data center cooling shows strategic vision. However, the recent CEO transition and mixed Glassdoor reviews suggest organizational culture is evolving rather than deeply embedded.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AAON's purpose — engineering premier, configurable HVAC solutions — is genuine and connects to broader sustainability goals, with 80% non-fossil-fuel product target by 2030 and current 63% achievement [3]. The company's 39-year commitment to US manufacturing in Tulsa, Oklahoma reflects consistency of purpose. However, the cause is more operational excellence than transformative vision — it doesn't describe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AAON has 5,897 employees with adequate but not exceptional culture indicators — Glassdoor 3.4/5, 77% recommendation rate [2]. The May 2025 executive leadership restructuring under new President Matt Tobolski shows organizational evolution but creates transition uncertainty. Mixed Glassdoor reviews citing management concerns in certain departments suggest uneven trust levels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AAON competes against Trane Technologies, Carrier, and Vertiv in data center cooling, and management's strategic response to competition — acquiring BASX, expanding Memphis capacity, developing liquid cooling solutions — reflects a learn-and-improve mindset rather than a destroy-competitors posture [1]. The company's custom-engineering approach implicitly acknowledges that commodity competitors serve different market needs.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BASX acquisition and data center pivot represents meaningful strategic adaptation — AAON transformed from a pure commercial HVAC manufacturer into a data center cooling leader, with 60% of backlog now data center-focused [1]. The 787,000 sq ft Memphis facility expansion specifically for BASX production shows commitment. However, this was an adjacent-market extension rather than a business model reinvention — the core competency (custom HVAC engineering) remained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AAON invested heavily in capacity expansion — $417M in debt, Memphis facility buildout, ERP implementation — accepting near-term margin compression (gross margin fell to 26.7%) to position for data center growth [1]. GAAP EPS declined to $1.29 from higher levels despite record revenue, demonstrating willingness to sacrifice current earnings for future capability. The 25% manufacturing footprint expansion while margins compressed shows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AAON is uniquely positioned at the intersection of traditional HVAC engineering excellence and explosive AI data center demand. FY2025 revenue hit a record $1.44B (+20.1% YoY) with record backlog of $1.83B, of which 60% is data center-focused [1]. The BASX segment surged 138.8% in Q4 2025, validating the company's pivot toward custom-engineered data center cooling. Management guides 18-20% revenue growth for 2026 with margin recovery to 29-31% as the Memphis facility ramp normalizes [1]. D/E of 46.6% is conservative, the 5-year revenue CAGR of ~19% demonstrates sustained growth, and the physical nature of cooling infrastructure makes AAON structurally immune to AI disruption while directly benefiting from AI-driven data center expansion. The Inspire Insight score of 64 with 12 positive ESG attributions reflects strong sustainability practices, including a target of 80% non-fossil-fuel products by 2030 [3].</w:t>
      </w:r>
    </w:p>
    <w:p>
      <w:pPr>
        <w:spacing w:after="120"/>
      </w:pPr>
      <w:r>
        <w:rPr>
          <w:rFonts w:ascii="Calibri" w:hAnsi="Calibri"/>
          <w:b w:val="0"/>
          <w:color w:val="3A4A28"/>
          <w:sz w:val="20"/>
        </w:rPr>
        <w:t>The bear case focuses on premium valuation, margin pressure, and execution risk. At 72.6x trailing P/E and 31.6x forward P/E with a PEG of 3.01, AAON is priced for perfection — any stumble in the data center narrative could trigger a significant de-rating [4]. Profit margin of 7.5% is well below historical levels, and while management attributes this to Memphis ramp costs, the timeline for margin recovery remains uncertain. FCF is deeply negative at -$236M due to capex spending. Data center cooling is increasingly competitive, with Vertiv, Trane Technologies, and Carrier all targeting the same hyperscale opportunity. AAON's customer concentration risk in data centers means a slowdown in hyperscale capex — such as the AI spending pause fears seen in the DeepSeek episode — could disproportionately impact revenue [2]. The CEO transition to Matt Tobolski in May 2025, while orderly, introduces leadership uncertainty as the company scales into a new market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$1.83B backlog with 60% data center concentration and management guidance of 18-20% revenue growth for 2026, supported by doubled BASX production capacity from the Memphis facility [1]</w:t>
      </w:r>
    </w:p>
    <w:p>
      <w:pPr>
        <w:spacing w:before="40" w:after="40"/>
        <w:ind w:left="283"/>
      </w:pPr>
      <w:r>
        <w:rPr>
          <w:rFonts w:ascii="Calibri" w:hAnsi="Calibri"/>
          <w:b/>
          <w:color w:val="4A6B25"/>
          <w:sz w:val="20"/>
        </w:rPr>
        <w:t xml:space="preserve">2. </w:t>
      </w:r>
      <w:r>
        <w:rPr>
          <w:rFonts w:ascii="Calibri" w:hAnsi="Calibri"/>
          <w:b w:val="0"/>
          <w:color w:val="3A4A28"/>
          <w:sz w:val="20"/>
        </w:rPr>
        <w:t>Margin recovery expected as Memphis facility ramp normalizes — management guides 29-31% gross margins for 2026 versus 26.7% in FY2025, which would significantly expand EPS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buildout tailwind — BASX liquid and air-side cooling solutions are essential for hyperscale data centers, and every new AI training cluster requires precision thermal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72.6x trailing P/E and PEG of 3.01 leaves no margin of safety — any deceleration in data center orders or margin recovery timeline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FCF deeply negative at -$236M with $417M in debt from capacity investments; margin recovery timeline depends on Memphis facility utilization rates that are not yet proven at scale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hyperscale data centers creates binary risk — a slowdown in AI capex spending or shift to alternative cooling technologies could compress BASX backlog and revenue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AAON is a direct beneficiary of AI infrastructure expansion — its BASX segment provides precision cooling systems essential for hyperscale data centers housing AI training clusters [1][2]. AI cannot replace physical cooling hardware; every new data center requires HVAC systems, and AI compute generates significantly more heat than traditional workloads. The January 2025 DeepSeek-related selloff in AAON stock was a misunderstanding — even more efficient AI models still need physical cooling infrastructure [2]. AAON's custom-engineered approach, regulatory compliance requirements, and physical installation complexity create barriers that pure-software AI cannot breach. AI Opportunity (0/1): While AAON benefits from AI-driven data center demand, the company does not generate direct AI product revenue. Its products cool AI infrastructure but are not themselves AI-powered in a revenue-generating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AAON Q4 and Full Year 2025 Earnings Release — $1.44B record revenue, $1.83B backlog, BASX +138.8%, 18-20%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AAON Company Website, Glassdoor Reviews, Executive Leadership Announcements — Matt Tobolski appointment, culture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AAON ESG Sustainability Report — 63% non-fossil-fuel products, 80% by 2030 target, board diversity metrics,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AAON (AAON,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