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AAPL</w:t>
      </w:r>
      <w:r>
        <w:rPr>
          <w:rFonts w:ascii="Calibri" w:hAnsi="Calibri"/>
          <w:b/>
          <w:color w:val="1A2010"/>
          <w:sz w:val="40"/>
        </w:rPr>
        <w:t xml:space="preserve">  Apple Inc.</w:t>
      </w:r>
    </w:p>
    <w:p>
      <w:pPr>
        <w:spacing w:after="120"/>
      </w:pPr>
      <w:r>
        <w:rPr>
          <w:rFonts w:ascii="Calibri" w:hAnsi="Calibri"/>
          <w:b/>
          <w:color w:val="6E8450"/>
          <w:sz w:val="18"/>
        </w:rPr>
        <w:t>GROWTH SLEEVE · 2026-05-12 · Inspire: -93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Consumer Electronics · NASDAQ · United States</w:t>
      </w:r>
    </w:p>
    <w:p>
      <w:pPr>
        <w:spacing w:after="80"/>
      </w:pPr>
      <w:r>
        <w:rPr>
          <w:rFonts w:ascii="Calibri" w:hAnsi="Calibri"/>
          <w:b w:val="0"/>
          <w:color w:val="3A4A28"/>
          <w:sz w:val="20"/>
        </w:rPr>
        <w:t>Apple Inc. designs, manufactures, and markets smartphones, personal computers, tablets, wearables, and accessories worldwide. The company offers iPhone, Mac, iPad, Apple Watch, AirPods, Apple TV, and Vision Pro, along with services including the App Store, Apple Music, Apple TV+, iCloud, Apple Pay, and Apple Intelligence AI features.</w:t>
      </w:r>
    </w:p>
    <w:p>
      <w:r>
        <w:rPr>
          <w:rFonts w:ascii="Calibri" w:hAnsi="Calibri"/>
          <w:b/>
          <w:color w:val="6E8450"/>
          <w:sz w:val="18"/>
        </w:rPr>
        <w:t>166,000 Employees · https://www.apple.com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Apple's transition to custom Apple Silicon (M1-M4 chips) redefined Mac performance and efficiency, while Vision Pro launched spatial computing as a new category. Services revenue hit an all-time record of $31B in Q2 FY2026 (+16% YoY), establishing a high-margin recurring revenue engine [1]. AI Deployment (1/2): Apple Intelligence launched across iPhone, Mac, and iPad in 2024-2025, but the AI-powered Siri overhaul has faced significant delays, prompting Tim Cook to shake up AI leadership — measurable revenue impact remains unclear [2]. Market Share (2/2): Apple dominates premium smartphones globally, leads in wearables and tablets, and the iPhone generated record Q1 FY2026 revenue. Services ecosystem of 1B+ subscribers creates extraordinary switching costs [1]. Pipeline (2/2): Apple Intelligence expansion across product lines, next-gen Apple Silicon roadmap, Vision Pro iteration, and new CEO John Ternus bringing hardware engineering focus to the top role [2]. R&amp;D Intensity (1/1): R&amp;D spending exceeds $30B annually, consistently among the highest absolute spenders in technology.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Apple's purpose of creating products at 'the intersection of technology and the liberal arts' is specific, deeply distinctive, and has been consistently pursued from Steve Jobs through Tim Cook for four decades. It shapes product design, retail experience, and strategic decisions in ways that are clearly traceable [2]. Community Impact (1/2): Apple committed $2.5B to its Racial Equity and Justice Initiative and has invested significantly in environmental sustainability, though the recent delinking of ESG metrics from executive compensation and Lisa Jackson's departure without replacement raise questions about ongoing commitment [3]. Employee Retention (2/2): Apple employees have long average tenures and famously mission-driven culture — people cite the opportunity to work on world-changing products as a primary retention driver. Leadership continuity is strong, with the CEO transition to John Ternus representing a planned, orderly succession [2]. Insider Buying (1/2): Tim Cook's compensation is heavily stock-based, aligning incentives, but insider transactions are balanced between regular programmatic sales and stock awards — no pattern of aggressive net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check passes ($292.68 x 43.8M avg volume = $12.8B daily liquidity). D/E of 79.5% scores 0.96 against the 70% target. ROE of 141.5% is exceptional (1.0, weight 2x). Revenue growth of 16.6% YoY scores 1.0. Three-year revenue CAGR of ~1.8% (FY2022-FY2025) is weak at 0.45, though TTM acceleration to 16-17% YoY growth suggests the trend is improving (weight 2x). Forward P/E of 30.6 scores 0.74. Profit margin of 27.2% scores 1.0. PEG of 2.57 scores 0.22 (weight 2x). Weighted calculation: (0.96x1 + 1.0x2 + 1.0x1 + 0.45x2 + 0.74x1 + 1.0x1 + 0.22x2) / 10 x 10 = 7.0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Apple demonstrates strong infinite-game characteristics across most dimensions, with a validated Just Cause spanning four decades, extraordinary existential flexibility (Macintosh to iPod to iPhone to Services to AI), and courageous leadership decisions that sacrificed short-term revenue for long-term positioning [2]. The planned CEO transition from Tim Cook to John Ternus represents a mature, orderly succession — rare in tech — that suggests institutional commitment to continuity beyond any single leader. The deduction comes from Apple's historically dismissive competitive posture.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Apple's purpose of creating products at the intersection of technology and liberal arts is genuine, distinctive, and has been validated across four decades of consistent execution — from the Macintosh through iPod, iPhone, and now spatial computing [2]. The cause survived the return of Jobs, the transition to Cook, and now the handoff to Ternus. However, the recent delinking of ESG metrics from executive pay and the departure of sustainability chief Lisa Jackson without replacement suggest some erosion of purpose-driven decision-making under the pressure of AI competition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Apple maintains a stable, high-retention culture with leadership continuity — many SVPs have served 10+ years, and the CEO succession was planned years in advance [2]. However, the recent AI leadership shakeup, where Tim Cook lost confidence in the Siri chief and restructured AI divisions, introduces organizational instability in Apple's most critical growth area. Apple's famously secretive culture, while effective for product launches, can create silos that undermine cross-functional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Apple historically demonstrates a finite competitive mindset — the company positions itself as 'in its own category' rather than acknowledging competitors' strengths. Marketing language emphasizes Apple's superiority rather than learning from rivals. While this confidence is earned by decades of execution, Sinek would note that the refusal to acknowledge Samsung's camera leadership, Google's AI superiority, or Meta's VR ecosystem as worthy rivals limits self-improvement [2].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Apple is Sinek's canonical example of existential flexibility — abandoning the Macintosh platform to bet everything on the iPhone, cannibalizing iPod revenue with iPhone's music capabilities, and now transitioning from a hardware company to a Services-led ecosystem [2]. The Apple Silicon transition — abandoning Intel's x86 architecture for custom ARM chips — represents another transformative pivot that redefined Mac's competitive position. Each pivot was driven by purpose, not desperation.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Multiple examples of costly long-term bets: the $450B+ share buyback program demonstrating conviction in intrinsic value; the privacy stance that cost Apple billions in potential ad revenue but strengthened brand trust; the Apple Silicon transition that required rebuilding the entire Mac software ecosystem; and launching Vision Pro as a $3,500 spatial computing bet years before the market may be ready [1][2]. Tim Cook's decision to invest in Apple Intelligence despite being late to generative AI, rather than admitting defeat, shows willingness to compete in AI even when behind.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Apple delivered a strong Q2 FY2026 with $111.2B revenue (+17% YoY), $2.01 EPS (+22% YoY), and Services reaching a $31B all-time record, demonstrating that the world's most valuable company can still accelerate growth [1]. The Apple ecosystem — 2B+ active devices, 1B+ subscribers, 27% profit margins — remains the most powerful consumer technology platform ever built, with switching costs that create durable competitive advantages.</w:t>
      </w:r>
    </w:p>
    <w:p>
      <w:pPr>
        <w:spacing w:after="120"/>
      </w:pPr>
      <w:r>
        <w:rPr>
          <w:rFonts w:ascii="Calibri" w:hAnsi="Calibri"/>
          <w:b w:val="0"/>
          <w:color w:val="3A4A28"/>
          <w:sz w:val="20"/>
        </w:rPr>
        <w:t>Key concerns center on AI competitiveness and valuation. Apple Intelligence has underwhelmed with Siri delays, prompting an AI leadership shakeup, while Google, OpenAI, and others advance rapidly [2]. The CEO transition from Tim Cook to John Ternus introduces execution uncertainty during a critical AI pivot. At a Forward P/E of 30.6 and PEG of 2.57, the stock is priced for continued execution excellence with little margin for error. The 3-year revenue CAGR of only 1.8% (FY2022-FY2025) raises questions about whether the recent 16-17% YoY growth is sustainable or driven by one-time factors.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Apple Intelligence expansion across product lines could drive an iPhone super-cycle as AI features require newer hardware, boosting upgrade rates [1][2]</w:t>
      </w:r>
    </w:p>
    <w:p>
      <w:pPr>
        <w:spacing w:before="40" w:after="40"/>
        <w:ind w:left="283"/>
      </w:pPr>
      <w:r>
        <w:rPr>
          <w:rFonts w:ascii="Calibri" w:hAnsi="Calibri"/>
          <w:b/>
          <w:color w:val="4A6B25"/>
          <w:sz w:val="20"/>
        </w:rPr>
        <w:t xml:space="preserve">2. </w:t>
      </w:r>
      <w:r>
        <w:rPr>
          <w:rFonts w:ascii="Calibri" w:hAnsi="Calibri"/>
          <w:b w:val="0"/>
          <w:color w:val="3A4A28"/>
          <w:sz w:val="20"/>
        </w:rPr>
        <w:t>Services revenue acceleration — $31B quarterly record at 76.7% gross margin is approaching a $125B+ annual run rate with expanding margins [1]</w:t>
      </w:r>
    </w:p>
    <w:p>
      <w:pPr>
        <w:spacing w:before="40" w:after="40"/>
        <w:ind w:left="283"/>
      </w:pPr>
      <w:r>
        <w:rPr>
          <w:rFonts w:ascii="Calibri" w:hAnsi="Calibri"/>
          <w:b/>
          <w:color w:val="4A6B25"/>
          <w:sz w:val="20"/>
        </w:rPr>
        <w:t xml:space="preserve">3. </w:t>
      </w:r>
      <w:r>
        <w:rPr>
          <w:rFonts w:ascii="Calibri" w:hAnsi="Calibri"/>
          <w:b w:val="0"/>
          <w:color w:val="3A4A28"/>
          <w:sz w:val="20"/>
        </w:rPr>
        <w:t>CEO transition to John Ternus brings hardware engineering expertise that could accelerate product innovation in the AI era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competitiveness gap — Apple Intelligence has underdelivered versus Google Gemini and OpenAI, with Siri overhaul facing significant delays, threatening ecosystem relevance [2]</w:t>
      </w:r>
    </w:p>
    <w:p>
      <w:pPr>
        <w:spacing w:before="40" w:after="40"/>
        <w:ind w:left="283"/>
      </w:pPr>
      <w:r>
        <w:rPr>
          <w:rFonts w:ascii="Calibri" w:hAnsi="Calibri"/>
          <w:b/>
          <w:color w:val="4A6B25"/>
          <w:sz w:val="20"/>
        </w:rPr>
        <w:t xml:space="preserve">2. </w:t>
      </w:r>
      <w:r>
        <w:rPr>
          <w:rFonts w:ascii="Calibri" w:hAnsi="Calibri"/>
          <w:b w:val="0"/>
          <w:color w:val="3A4A28"/>
          <w:sz w:val="20"/>
        </w:rPr>
        <w:t>Valuation premium at 30.6x Forward P/E and 2.57 PEG leaves limited margin for error if growth decelerates from current 16-17% YoY [4]</w:t>
      </w:r>
    </w:p>
    <w:p>
      <w:pPr>
        <w:spacing w:before="40" w:after="40"/>
        <w:ind w:left="283"/>
      </w:pPr>
      <w:r>
        <w:rPr>
          <w:rFonts w:ascii="Calibri" w:hAnsi="Calibri"/>
          <w:b/>
          <w:color w:val="4A6B25"/>
          <w:sz w:val="20"/>
        </w:rPr>
        <w:t xml:space="preserve">3. </w:t>
      </w:r>
      <w:r>
        <w:rPr>
          <w:rFonts w:ascii="Calibri" w:hAnsi="Calibri"/>
          <w:b w:val="0"/>
          <w:color w:val="3A4A28"/>
          <w:sz w:val="20"/>
        </w:rPr>
        <w:t>ESG rollback — delinking environmental metrics from executive pay and losing sustainability chief Lisa Jackson without replacement signals deprioritization of governance commitments [3]</w:t>
      </w:r>
    </w:p>
    <w:p>
      <w:pPr>
        <w:spacing w:before="40" w:after="40"/>
        <w:ind w:left="283"/>
      </w:pPr>
      <w:r>
        <w:rPr>
          <w:rFonts w:ascii="Calibri" w:hAnsi="Calibri"/>
          <w:b/>
          <w:color w:val="4A6B25"/>
          <w:sz w:val="20"/>
        </w:rPr>
        <w:t xml:space="preserve">4. </w:t>
      </w:r>
      <w:r>
        <w:rPr>
          <w:rFonts w:ascii="Calibri" w:hAnsi="Calibri"/>
          <w:b w:val="0"/>
          <w:color w:val="3A4A28"/>
          <w:sz w:val="20"/>
        </w:rPr>
        <w:t>Regulatory risk from EU Digital Markets Act, DOJ antitrust scrutiny, and potential renegotiation of the $20B+ Google search deal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Apple's core hardware business — iPhones, Macs, iPads, wearables — involves physical products that AI cannot displace, providing structural protection [1]. However, AI poses real threats to Apple's high-margin Services ecosystem: if AI agents replace apps, the App Store's 30% commission model faces disruption; the $20B+ annual Google search deal could be renegotiated as AI search evolves; and competitors with superior AI (Google, OpenAI) could erode the perceived value of Apple's ecosystem if Apple Intelligence fails to keep pace [2]. Apple's late entry into generative AI and delays with Siri's overhaul have raised legitimate concerns about the company's AI competitiveness. AI Opportunity (1/1): Apple Intelligence generates revenue through ecosystem lock-in — on-device AI processing requires newer hardware, driving upgrade cycles, and AI features are becoming a key differentiator for iPhone and Mac sales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-93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Exploitation </w:t>
      </w:r>
      <w:r>
        <w:rPr>
          <w:rFonts w:ascii="Calibri" w:hAnsi="Calibri"/>
          <w:b w:val="0"/>
          <w:color w:val="9DAF88"/>
          <w:sz w:val="17"/>
        </w:rPr>
        <w:t xml:space="preserve">  ·  </w:t>
      </w:r>
      <w:r>
        <w:rPr>
          <w:rFonts w:ascii="Calibri" w:hAnsi="Calibri"/>
          <w:b/>
          <w:color w:val="DC2626"/>
          <w:sz w:val="17"/>
        </w:rPr>
        <w:t xml:space="preserve"> LGBT Activism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Apple Q2 FY2026 earnings report — CNBC, Apple Newsroom, April 30, 2026</w:t>
      </w:r>
    </w:p>
    <w:p>
      <w:pPr>
        <w:spacing w:before="20" w:after="20"/>
        <w:ind w:left="170"/>
      </w:pPr>
      <w:r>
        <w:rPr>
          <w:rFonts w:ascii="Calibri" w:hAnsi="Calibri"/>
          <w:b/>
          <w:color w:val="4A6B25"/>
          <w:sz w:val="15"/>
        </w:rPr>
        <w:t xml:space="preserve">2. </w:t>
      </w:r>
      <w:r>
        <w:rPr>
          <w:rFonts w:ascii="Calibri" w:hAnsi="Calibri"/>
          <w:b w:val="0"/>
          <w:color w:val="3A4A28"/>
          <w:sz w:val="17"/>
        </w:rPr>
        <w:t>Tim Cook leadership legacy and CEO transition to John Ternus — TechCrunch, Fortune, Yale Insights, April 2026</w:t>
      </w:r>
    </w:p>
    <w:p>
      <w:pPr>
        <w:spacing w:before="20" w:after="20"/>
        <w:ind w:left="170"/>
      </w:pPr>
      <w:r>
        <w:rPr>
          <w:rFonts w:ascii="Calibri" w:hAnsi="Calibri"/>
          <w:b/>
          <w:color w:val="4A6B25"/>
          <w:sz w:val="15"/>
        </w:rPr>
        <w:t xml:space="preserve">3. </w:t>
      </w:r>
      <w:r>
        <w:rPr>
          <w:rFonts w:ascii="Calibri" w:hAnsi="Calibri"/>
          <w:b w:val="0"/>
          <w:color w:val="3A4A28"/>
          <w:sz w:val="17"/>
        </w:rPr>
        <w:t>Apple ESG changes — Bloomberg (delinking ESG from pay), ESG News (Lisa Jackson retirement), February-April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AAPL key statistics and financials,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