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AA</w:t>
      </w:r>
      <w:r>
        <w:rPr>
          <w:rFonts w:ascii="Calibri" w:hAnsi="Calibri"/>
          <w:b/>
          <w:color w:val="1A2010"/>
          <w:sz w:val="40"/>
        </w:rPr>
        <w:t xml:space="preserve">  Alcoa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2026-03-28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Basic Materials · Aluminum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Alcoa Corporation is a global leader in bauxite mining, alumina refining, and aluminum production, operating across Australia, Brazil, Canada, Iceland, Norway, Spain, and the United States. The company sells commodity-grade and value-add aluminum ingot to customers in transportation, construction, packaging, and industrial markets, and is pivoting surplus industrial sites toward AI data center infrastructure.</w:t>
      </w:r>
    </w:p>
    <w:p>
      <w:r>
        <w:rPr>
          <w:rFonts w:ascii="Calibri" w:hAnsi="Calibri"/>
          <w:b/>
          <w:color w:val="6E8450"/>
          <w:sz w:val="18"/>
        </w:rPr>
        <w:t>14,900 Employees · https://www.alcoa.com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Alcoa completed the Alumina Limited acquisition in 2024 to consolidate its alumina position, and is now pivoting 10 industrial brownfield sites for sale to hyperscale data center operators targeting $500M–$1B in proceeds by mid-2026 [1][2]. However, core aluminum operations remain fundamentally unchanged. AI Deployment (1/2): Alcoa deployed Fairmarkit's AI-driven autonomous sourcing platform across procurement operations in the US, Brazil, and Canada, achieving measurable cost savings and cycle time improvements [2]. No AI products sold externally. Market Share (1/2): Alcoa is the world's largest alumina producer and a top-five aluminum smelter, but operates in a commodity market with limited pricing power and no dominant share position [1]. Pipeline (1/2): The ELYSIS zero-carbon smelting joint venture with Rio Tinto represents breakthrough technology, but management does not foresee commercial deployment before 2030 [1]. R&amp;D Intensity (1/1): R&amp;D spending on ELYSIS and Refinery of the Future initiatives is above average for the basic materials sector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Alcoa's stated purpose is 'to turn raw potential into real progress, advancing sustainability and shaping a better future through aluminum,' which is clear and industry-specific but not deeply distinctive or transformative beyond sector peers. Community Impact (1/2): Alcoa maintains community investment programs and achieved top 1% EcoVadis sustainability rating in its sector, with 87% renewable electricity usage across smelting operations [3]. However, significant environmental controversies including Ohio River mercury contamination (101 permit violations 2018–2023) and multiple Superfund cleanup settlements undermine the community narrative [3]. Employee Retention (1/2): Glassdoor rating of 3.9/5 on culture with 85% recommending Alcoa as an employer, though executive team rated in the bottom 20% of similarly sized companies on Comparably and reviews cite competitive senior leadership dynamics [2]. Insider Buying (1/2): Recent insider activity is exclusively stock awards/grants rather than open-market purchases — CEO Oplinger received 66,660 shares in January 2026 grants, but no meaningful net insider buying with personal capital was evident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Alcoa's financial profile is surprisingly strong for a cyclical commodity producer. D/E of 44.5% is well below the 70% target, reflecting disciplined balance sheet management [4]. ROE of 19.7% exceeds the 15% target, driven by the dramatic earnings recovery to $4.42 EPS in 2025 versus $0.26 in 2024 [1]. Forward P/E of 10.2x is deeply discounted relative to the 20x target. Profit margin of 9.0% is modest but reflects commodity economics. Revenue of $12.83B grew 8% YoY on higher aluminum prices and volumes, with 5-year CAGR estimated at ~6.7% [1]. Liquidity floor easily cleared at $443M daily turnover. The weak spot is profit margin at 9.0% versus the 20% target, typical for capital-intensive metals production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Alcoa under CEO Bill Oplinger shows mixed infinite game signals. The 138-year heritage and ELYSIS zero-carbon technology investment demonstrate long-term thinking, but the company's commodity-driven cyclicality and ongoing environmental violations suggest a tension between stated sustainability values and operational execution.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Alcoa's commitment to 'advancing sustainability through aluminum' is genuine and backed by the ELYSIS zero-carbon smelting joint venture and 87% renewable electricity usage [3]. The cause is distinctive within the metals industry but hasn't been tested through multi-decade consistency as a standalone company (spun off in 2016). The gap between sustainability messaging and 101 water pollution violations weakens the narrative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Glassdoor shows 85% of employees recommend Alcoa with 3.9/5 culture rating, suggesting an adequate work environment [2]. However, the Comparably bottom-20% executive team rating and reviews citing competitive senior leadership dynamics and unrealistic expectations indicate trust deficits at the management level. Average, not exceptional, for industrial companies.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Alcoa explicitly acknowledges competitors' strengths — the ELYSIS joint venture with Rio Tinto demonstrates willingness to collaborate with a major rival to advance the industry [3]. Management frames competitive dynamics around improving aluminum production sustainability rather than crushing competitors, consistent with infinite game thinking.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Alcoa's pivot to selling brownfield industrial sites to data center operators shows adaptive thinking — converting stranded industrial assets into high-value AI infrastructure plays [2]. The Alumina Limited acquisition consolidated the upstream position. These are incremental adaptations rather than transformative reinventions, but they show a willingness to evolve the business model beyond traditional metals production.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Management's disciplined approach to capacity — restarting the San Ciprián smelter while explicitly ruling out greenfield expansion — shows restraint in a cyclical industry prone to over-investment [1]. The ELYSIS investment is a courageous long-term bet on zero-carbon smelting with no commercial payoff before 2030. However, the flat $0.10/quarter dividend since inception suggests conservative capital return despite strong earnings recovery.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Alcoa is a fundamentally transformed company following the 2024 Alumina Limited acquisition and dramatic earnings recovery — net income surged from $60M ($0.26 EPS) in 2024 to $1.2B ($4.42 EPS) in 2025 on higher aluminum prices and volume growth [1]. At 10.2x forward P/E with D/E of just 44.5%, the stock is deeply discounted relative to its improved earnings power. The data center brownfield sales targeting $500M–$1B in proceeds represent an innovative unlocking of stranded asset value as AI infrastructure demand surges [2]. Aluminum production guidance of 2.4–2.6M metric tons for 2026 (up from 2025) with smelter restarts provides volume tailwinds, and the ELYSIS zero-carbon technology positions Alcoa for regulatory-advantaged production long-term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Alcoa's inescapable commodity cyclicality — aluminum prices have been volatile and a global recession could send prices below $2,500/ton, compressing margins on a business with only 9% profit margins [1]. Revenue declined 1.1% YoY in the most recent period despite higher prices, suggesting volume headwinds. The San Ciprián smelter restart will create $70M in sequential cost headwinds in Q1 2026 [1]. Environmental liabilities remain material — 101 water pollution violations at the Warrick County smelter and multiple Superfund cleanup settlements represent both financial and reputational risk [3]. The $0.40 annual dividend (0.68% yield) provides minimal income support, and the flat dividend since the 2016 spin-off shows no commitment to dividend growth despite improved earnings.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Data center brownfield site sales targeting $500M–$1B in proceeds, with first transaction expected to close by June 2026, unlocking stranded asset value from AI infrastructure demand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Smelter restart program increasing aluminum production to 2.4–2.6M metric tons in 2026, driving volume growth and operating leverage on higher aluminum prices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ELYSIS zero-carbon smelting technology development with Rio Tinto, positioning Alcoa for regulatory-advantaged premium aluminum production as carbon pricing expands globally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Aluminum price cyclicality — a global recession or demand slowdown could push prices below $2,500/ton, compressing Alcoa's thin 9% profit margins and reversing the 2025 earnings recovery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Environmental litigation exposure — 101 water pollution violations at Warrick County, Superfund cleanup obligations at multiple sites, and air quality lawsuits create material financial and reputational liability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San Ciprián smelter restart execution risk — $70M sequential cost headwind in Q1 2026 with uncertain timeline to full production and profitability in a high-energy-cost European operating environment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Aluminum production is a physical-world industrial process that AI cannot substitute — mining bauxite, refining alumina, and smelting aluminum require massive capital infrastructure, energy, and complex metallurgical processes [1]. AI poses zero substitution risk to Alcoa's core business. However, Alcoa operates in a commodity market where AI-enabled efficiency gains by competitors could compress margins. The company is also directly benefiting from AI infrastructure buildout — selling 10 industrial brownfield sites to hyperscale data center operators for $500M–$1B as AI-driven electricity demand surges [2]. AI Opportunity (1/1): Alcoa is generating meaningful revenue from AI indirectly — the data center site sales represent a novel AI-linked revenue stream, and aluminum demand benefits from increased construction of data centers and power infrastructure required for AI computing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Alcoa Corporation Q4 and Full Year 2025 Earnings Release — $12.83B revenue, $1.2B net income, 2026 production guidance,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Alcoa CEO strategy and AI infrastructure pivot — data center brownfield sales targeting $500M–$1B, Fairmarkit AI procurement deployment,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Alcoa ESG profile — 87% renewable electricity, ELYSIS zero-carbon smelting, Ohio River pollution violations, Superfund settlements, 2023–2026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AA (Alcoa Corporation), retrieved March 28,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