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ABEO</w:t>
      </w:r>
      <w:r>
        <w:rPr>
          <w:rFonts w:ascii="Calibri" w:hAnsi="Calibri"/>
          <w:b/>
          <w:color w:val="1A2010"/>
          <w:sz w:val="40"/>
        </w:rPr>
        <w:t xml:space="preserve">  Abeona Therapeutics Inc.</w:t>
      </w:r>
    </w:p>
    <w:p>
      <w:pPr>
        <w:spacing w:after="120"/>
      </w:pPr>
      <w:r>
        <w:rPr>
          <w:rFonts w:ascii="Calibri" w:hAnsi="Calibri"/>
          <w:b/>
          <w:color w:val="6E8450"/>
          <w:sz w:val="18"/>
        </w:rPr>
        <w:t>GROWTH SLEEVE · 2026-05-01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Abeona Therapeutics Inc., a commercial-stage biopharmaceutical company, develops gene and cell therapies for life-threatening diseases. Its lead product ZEVASKYN is an autologous, cell-based gene therapy for patients with recessive dystrophic epidermolysis bullosa (RDEB). The pipeline includes ABO-503 (X-linked retinoschisis), ABO-504 (Stargardt disease), and ABO-505 (autosomal dominant optic atrophy) built on its proprietary AIM vector platform. Founded in 1974 and headquartered in Cleveland, Ohio.</w:t>
      </w:r>
    </w:p>
    <w:p>
      <w:r>
        <w:rPr>
          <w:rFonts w:ascii="Calibri" w:hAnsi="Calibri"/>
          <w:b/>
          <w:color w:val="6E8450"/>
          <w:sz w:val="18"/>
        </w:rPr>
        <w:t>226 Employees · https://www.abeonatherapeutics.com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Abeona achieved FDA approval for ZEVASKYN in May 2024, the first-ever gene therapy for RDEB — a transformative pivot from a development-stage company to a commercial-stage entity with a first-in-class product addressing a devastating rare disease with no prior treatment options [1][2]. AI Deployment (0/2): No evidence of AI-powered products or AI-driven internal efficiency gains; drug development remains traditional. Market Share Leadership (2/2): ZEVASKYN is the only approved gene therapy for RDEB globally, giving Abeona 100% market share in a category it created. CMS assigned a permanent J-code effective January 2026, validating commercial infrastructure [1]. Product Pipeline (1/2): Three additional AAV-based gene therapy candidates (ABO-503, ABO-504, ABO-505) targeting inherited retinal diseases are in development, though timelines remain in early clinical stages without specific launch dates [3]. R&amp;D Intensity (1/1): R&amp;D spending significantly exceeds revenue, reflecting the biotech model — the company invested heavily in clinical development and manufacturing capability relative to its $5.8M revenue base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Abeona's mission to 'bring novel cell and gene therapies from bench to bedside for patients with life-threatening diseases' is specific, thoughtful, and genuinely intentional — it connects the company's work to alleviating suffering from devastating rare diseases where no treatments existed. The RDEB patient community is deeply engaged with Abeona's mission [3]. Community &amp; Charitable Impact (1/2): Abeona works closely with the RDEB patient community and advocacy organizations; the company's work directly serves an underserved patient population with no prior treatment options, though no specific charitable foundation or dollar-amount programs were identified [3]. Employee Retention (0/2): Glassdoor reviews flag 'terrible turnover at all levels' and concerns about new leadership bringing in former colleagues rather than promoting existing staff — evidence of cultural challenges [5]. Insider Buying (1/2): Insider buying signals were mixed; CEO Vish Seshadri holds significant equity but no large-scale net insider buying pattern was identified in the last 12 months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metrics. D/E of 15.7% is very low with $191M cash against $25M debt, providing a strong balance sheet for a commercial-launch biotech [4]. ROE of 70% and profit margin of 12.2% reflect the one-time effect of a $71M net income year (driven by ZEVASKYN milestone payments and launch revenue against a small equity base) — these metrics will normalize as the company scales. Revenue growth is extreme at 60%+ 3yr CAGR as ZEVASKYN launches from a near-zero base to $5.8M. Forward P/E of 22.75x is reasonable. Metrics excluded due to null values: revenue growth YoY, forward PEG. Note: the company is still burning cash (~$56M negative free cash flow in 2025) and these metrics may overstate financial durability for a pre-profitability biotech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Abeona shows moderate infinite game characteristics driven by a genuine mission to treat devastating rare diseases, but the company's short commercial history, high employee turnover, and narrow single-product revenue base create fragility that Sinek would view as finite-game vulnerability. The company has not yet been tested through a crisis or market cycle as a commercial entity [1][5].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Abeona's cause — bringing gene therapies to patients with life-threatening rare diseases where no treatment existed — is genuine, service-oriented, and idealistic. The RDEB patient community's deep engagement validates the mission. However, the cause hasn't been tested through decades of execution or leadership transitions; CEO Seshadri has led since 2021 and the company only became commercial in 2024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report 'terrible turnover at all levels' and criticism that new leadership brings in former colleagues rather than promoting internal talent, creating a low-trust dynamic where existing employees feel overlooked. This turnover drains institutional knowledge and creates uncertainty about the company's future — a clear Circle of Safety failure in Sinek's framework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only approved RDEB gene therapy, Abeona has no direct worthy rival in its core market. The company's competitive positioning is defined by monopoly rather than a learning-oriented relationship with competitors. No evidence of management referencing peers' strengths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Abeona's transformation from PlasmaTech Biopharmaceuticals (2015 name change) through multiple strategic pivots to become a gene therapy company — and ultimately achieving FDA approval for a first-in-class product — demonstrates meaningful adaptability. The AIM vector platform approach allows pipeline expansion into new disease areas. However, the company has not yet abandoned a profitable business in service of its cause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Seshadri demonstrated courage by shepherding ZEVASKYN through FDA approval and commercial launch while the company was burning cash at ~$56M annually. The decision to build in-house manufacturing capability for autologous gene therapy rather than outsource showed long-term conviction. However, the company has not yet faced a test where short-term earnings were sacrificed for long-term capability — it has been in survival/launch mode rather than choosing between competing priorities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Abeona is a rare commercial-stage gene therapy company with a first-and-only FDA-approved product (ZEVASKYN) for RDEB, a devastating rare disease affecting ~3,000 patients in the U.S. with no prior treatment. The permanent J-code from CMS effective January 2026 removes a major reimbursement hurdle, and the company projects profitability in H1 2026 [1]. With $191M in cash, low debt of $25M, and a growing pipeline of three additional AAV-based gene therapies on the AIM platform, Abeona has the runway and scientific foundation to become a multi-product rare disease platform.</w:t>
      </w:r>
    </w:p>
    <w:p>
      <w:pPr>
        <w:spacing w:after="120"/>
      </w:pPr>
      <w:r>
        <w:rPr>
          <w:rFonts w:ascii="Calibri" w:hAnsi="Calibri"/>
          <w:b w:val="0"/>
          <w:color w:val="3A4A28"/>
          <w:sz w:val="20"/>
        </w:rPr>
        <w:t>The bear case is significant: ZEVASKYN generated only $5.8M in 2025 revenue against a $56M annual cash burn, meaning the company must dramatically accelerate commercial uptake to avoid dilutive capital raises within 2-3 years [4]. The total addressable RDEB market is small (~3,000 U.S. patients), capping upside even with perfect execution. Employee turnover at all levels — flagged on Glassdoor — threatens commercial execution capability during the critical launch phase. Forward EPS consensus of $0.24 (implying -$0.29 per share next quarter) suggests analysts expect continued losses through 2026. The stock's $310M market cap prices in substantial pipeline optionality that remains unproven in early-stage clinical programs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CMS permanent J-code effective January 2026 streamlining ZEVASKYN reimbursement, potentially doubling commercial adoption rates at treatment centers</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projected for H1 2026 as ZEVASKYN revenue scales while the cost structure remains relatively fixed</w:t>
      </w:r>
    </w:p>
    <w:p>
      <w:pPr>
        <w:spacing w:before="40" w:after="40"/>
        <w:ind w:left="283"/>
      </w:pPr>
      <w:r>
        <w:rPr>
          <w:rFonts w:ascii="Calibri" w:hAnsi="Calibri"/>
          <w:b/>
          <w:color w:val="4A6B25"/>
          <w:sz w:val="20"/>
        </w:rPr>
        <w:t xml:space="preserve">3. </w:t>
      </w:r>
      <w:r>
        <w:rPr>
          <w:rFonts w:ascii="Calibri" w:hAnsi="Calibri"/>
          <w:b w:val="0"/>
          <w:color w:val="3A4A28"/>
          <w:sz w:val="20"/>
        </w:rPr>
        <w:t>Pipeline readouts from ABO-503 (X-linked retinoschisis) clinical data could validate the AIM vector platform and unlock multi-billion-dollar optionality across inherited retinal diseases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ZEVASKYN commercial adoption remains below breakeven — $5.8M revenue vs. $56M annual cash burn creates a 3-year cash runway ceiling without dilutive financing</w:t>
      </w:r>
    </w:p>
    <w:p>
      <w:pPr>
        <w:spacing w:before="40" w:after="40"/>
        <w:ind w:left="283"/>
      </w:pPr>
      <w:r>
        <w:rPr>
          <w:rFonts w:ascii="Calibri" w:hAnsi="Calibri"/>
          <w:b/>
          <w:color w:val="4A6B25"/>
          <w:sz w:val="20"/>
        </w:rPr>
        <w:t xml:space="preserve">2. </w:t>
      </w:r>
      <w:r>
        <w:rPr>
          <w:rFonts w:ascii="Calibri" w:hAnsi="Calibri"/>
          <w:b w:val="0"/>
          <w:color w:val="3A4A28"/>
          <w:sz w:val="20"/>
        </w:rPr>
        <w:t>Small total addressable market (~3,000 RDEB patients in U.S.) caps peak revenue potential and limits the ability to achieve scale economies in autologous manufacturing</w:t>
      </w:r>
    </w:p>
    <w:p>
      <w:pPr>
        <w:spacing w:before="40" w:after="40"/>
        <w:ind w:left="283"/>
      </w:pPr>
      <w:r>
        <w:rPr>
          <w:rFonts w:ascii="Calibri" w:hAnsi="Calibri"/>
          <w:b/>
          <w:color w:val="4A6B25"/>
          <w:sz w:val="20"/>
        </w:rPr>
        <w:t xml:space="preserve">3. </w:t>
      </w:r>
      <w:r>
        <w:rPr>
          <w:rFonts w:ascii="Calibri" w:hAnsi="Calibri"/>
          <w:b w:val="0"/>
          <w:color w:val="3A4A28"/>
          <w:sz w:val="20"/>
        </w:rPr>
        <w:t>High employee turnover at all levels during the critical commercial launch phase could impair execution, sales force effectiveness, and manufacturing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Abeona's core business — autologous cell-based gene therapy manufacturing — requires harvesting patient skin cells, genetically modifying them in a GMP facility, and re-administering the engineered tissue. This is a physical-world, highly regulated, patient-specific process that AI cannot replicate or substitute. FDA regulatory requirements, the biological complexity of gene therapy production, and the impossibility of digitizing personalized cell manufacturing create structural immunity to AI disruption [1][2]. AI may eventually help optimize manufacturing yields or clinical trial design, but it cannot replace the therapy itself. AI Opportunity (1/1): While Abeona does not generate AI revenue directly, AI is increasingly used in gene therapy R&amp;D for vector design optimization and patient identification — McKinsey estimates AI can reduce cell and gene therapy development timelines by 30-50%, which benefits Abeona's pipeline development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Abeona Therapeutics Q4 2025 Earnings Release, March 20, 2026</w:t>
      </w:r>
    </w:p>
    <w:p>
      <w:pPr>
        <w:spacing w:before="20" w:after="20"/>
        <w:ind w:left="170"/>
      </w:pPr>
      <w:r>
        <w:rPr>
          <w:rFonts w:ascii="Calibri" w:hAnsi="Calibri"/>
          <w:b/>
          <w:color w:val="4A6B25"/>
          <w:sz w:val="15"/>
        </w:rPr>
        <w:t xml:space="preserve">2. </w:t>
      </w:r>
      <w:r>
        <w:rPr>
          <w:rFonts w:ascii="Calibri" w:hAnsi="Calibri"/>
          <w:b w:val="0"/>
          <w:color w:val="3A4A28"/>
          <w:sz w:val="17"/>
        </w:rPr>
        <w:t>FDA Approval of ZEVASKYN for Recessive Dystrophic Epidermolysis Bullosa, May 2024</w:t>
      </w:r>
    </w:p>
    <w:p>
      <w:pPr>
        <w:spacing w:before="20" w:after="20"/>
        <w:ind w:left="170"/>
      </w:pPr>
      <w:r>
        <w:rPr>
          <w:rFonts w:ascii="Calibri" w:hAnsi="Calibri"/>
          <w:b/>
          <w:color w:val="4A6B25"/>
          <w:sz w:val="15"/>
        </w:rPr>
        <w:t xml:space="preserve">3. </w:t>
      </w:r>
      <w:r>
        <w:rPr>
          <w:rFonts w:ascii="Calibri" w:hAnsi="Calibri"/>
          <w:b w:val="0"/>
          <w:color w:val="3A4A28"/>
          <w:sz w:val="17"/>
        </w:rPr>
        <w:t>Abeona Therapeutics Corporate Website — About and Pipeline,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ABEO key statistics,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Glassdoor Reviews — Abeona Therapeutics,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Simply Wall St — ABEO Insider Activity Analysis, accessed May 2026</w:t>
      </w:r>
    </w:p>
    <w:p>
      <w:pPr>
        <w:spacing w:before="20" w:after="20"/>
        <w:ind w:left="170"/>
      </w:pPr>
      <w:r>
        <w:rPr>
          <w:rFonts w:ascii="Calibri" w:hAnsi="Calibri"/>
          <w:b/>
          <w:color w:val="4A6B25"/>
          <w:sz w:val="15"/>
        </w:rPr>
        <w:t xml:space="preserve">7. </w:t>
      </w:r>
      <w:r>
        <w:rPr>
          <w:rFonts w:ascii="Calibri" w:hAnsi="Calibri"/>
          <w:b w:val="0"/>
          <w:color w:val="3A4A28"/>
          <w:sz w:val="17"/>
        </w:rPr>
        <w:t>McKinsey — How AI Can Accelerate R&amp;D for Cell and Gene Therapies,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