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ABR</w:t>
      </w:r>
      <w:r>
        <w:rPr>
          <w:rFonts w:ascii="Calibri" w:hAnsi="Calibri"/>
          <w:b/>
          <w:color w:val="1A2010"/>
          <w:sz w:val="40"/>
        </w:rPr>
        <w:t xml:space="preserve">  Arbor Realty Trust, Inc.</w:t>
      </w:r>
    </w:p>
    <w:p>
      <w:pPr>
        <w:spacing w:after="120"/>
      </w:pPr>
      <w:r>
        <w:rPr>
          <w:rFonts w:ascii="Calibri" w:hAnsi="Calibri"/>
          <w:b/>
          <w:color w:val="6E8450"/>
          <w:sz w:val="18"/>
        </w:rPr>
        <w:t>DIVIDEND SLEEVE · 2026-04-01 · Inspire: 27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Mortgage · NYSE · United States</w:t>
      </w:r>
    </w:p>
    <w:p>
      <w:pPr>
        <w:spacing w:after="80"/>
      </w:pPr>
      <w:r>
        <w:rPr>
          <w:rFonts w:ascii="Calibri" w:hAnsi="Calibri"/>
          <w:b w:val="0"/>
          <w:color w:val="3A4A28"/>
          <w:sz w:val="20"/>
        </w:rPr>
        <w:t>Arbor Realty Trust is a mortgage REIT investing in structured finance assets across multifamily, single-family rental, and commercial real estate markets. The company operates through Structured Business (bridge/mezzanine loans, preferred equity) and Agency Business (Fannie Mae/Freddie Mac/FHA loan origination and servicing) segments. Founded by CEO Ivan Kaufman in 2003.</w:t>
      </w:r>
    </w:p>
    <w:p>
      <w:r>
        <w:rPr>
          <w:rFonts w:ascii="Calibri" w:hAnsi="Calibri"/>
          <w:b/>
          <w:color w:val="6E8450"/>
          <w:sz w:val="18"/>
        </w:rPr>
        <w:t>653 Employees · https://arbor.com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Arbor expanded into single-family rental (SFR) lending and construction finance in recent years, diversifying beyond core multifamily bridge lending. However, the core business model has not fundamentally changed, and Q4 2025 earnings were 33% below the prior year with growing foreclosures on its Sun Belt multifamily loans [1][2]. AI Deployment (0/2): No evidence of AI-powered products or quantified AI-driven cost savings. The company's operations remain traditional mortgage REIT lending and servicing [2]. Market Share (1/2): Arbor is a meaningful player in the multifamily bridge lending market, consistently among the top Fannie Mae DUS lenders, but faces intense competition from larger players like Walker &amp; Dunlop, BXMT, and bank lenders [1]. Pipeline (0/2): No visible next-generation product pipeline. The company's growth depends on interest rate environment and real estate market conditions rather than product innovation [1]. R&amp;D Intensity (1/1): For a mortgage REIT, Arbor invests in technology platforms for loan origination and servicing that are at or above industry average for the sector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Arbor's stated purpose focuses on being a trusted real estate finance partner — generic for the industry with no distinctive vision beyond profitable lending [1]. Community Impact (1/2): Arbor published a 2023 ESG Summary Report and finances workforce and affordable housing through its multifamily lending programs, contributing to housing accessibility [3]. Employee Retention (0/2): 653 employees with no publicly available retention data. No evidence of above-average retention or employees citing mission as a reason to stay [2]. Insider Buying (1/2): CEO Ivan Kaufman has a 22-year tenure as founder/CEO with $12M annual compensation (90% equity-based), demonstrating significant financial alignment. However, multiple short seller reports and DOJ/FBI investigation create uncertainty about insider conviction [2][3].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Arbor's financial profile reflects a stressed mortgage REIT in a challenging rate environment. D/E of 362% exceeds the 300% floor, reflecting the highly leveraged nature of mortgage REITs [4]. ROE of 5.1% is below the 15% target but positive. Forward P/E of 7.5x is attractive, and profit margin of 27.3% exceeds the 20% target [4]. The dividend was cut 30% from $0.43 to $0.30/quarter in Q2 2025, breaking a streak of consecutive increases. The payout ratio of 237.5% (based on GAAP EPS of $0.56 vs $1.20 annual dividend) signals the dividend exceeds GAAP earnings, though it's 58.3% covered by cash flows [1]. Nonperforming loans reached $464.8M in Q1 2024 with delinquencies rising to $1B per Viceroy [3]. Liquidity floor cleared: 4.2M avg volume × $7.51 = $31.5M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Arbor Realty Trust under founder-CEO Ivan Kaufman has operated for 22 years but exhibits finite game characteristics — optimizing for high dividend yields, aggressive leverage, and loan volume growth that have now resulted in DOJ/FBI investigation, $1B in delinquencies, and a 30% dividend cut. The company's strategy of financing Sun Belt multifamily at the peak created value destruction when the cycle turned.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Arbor's purpose is to be a profitable real estate lender — there is no articulated Just Cause beyond financial returns. The company's mission statement focuses on being a trusted partner and delivering returns, which is interchangeable with any mortgage REIT [1]. Financing workforce and affordable housing through agency lending connects to a social purpose, but this is incidental to the business model rather than a driving cause. Score: 1/3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DOJ/FBI investigation into lending practices, multiple short seller reports alleging fraud, three investor lawsuits, and Viceroy's 22 separate reports create a trust crisis both internally and externally [3]. When federal investigators are probing your lending practices, organizational trust is compromised. CEO Kaufman's dismissal of concerns as 'fear-mongering' rather than transparently addressing allegations suggests a defensive rather than trust-building response [2][3]. Score: 0/2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Arbor's leadership acknowledging competitors' strengths or using rivalry for self-improvement. CEO Kaufman's public communications focus on dismissing short sellers rather than engaging constructively with market feedback [2]. The competitive mindset appears defensive rather than growth-oriented. Score: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Arbor has evolved from a pure multifamily bridge lender to include SFR lending, agency business, construction finance, and mezzanine/preferred equity over 22 years [1]. The expansion into SFR shows willingness to enter adjacent markets. However, these are incremental extensions of the same leveraged real estate lending model rather than transformative pivots. Score: 1/2 points.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Arbor maintained its aggressive lending posture during the Sun Belt multifamily boom, prioritizing loan volume and dividend growth over underwriting discipline — the opposite of courage in Sinek's framework [1][3]. The 30% dividend cut in 2025 was a reactive response to deteriorating loan performance, not a proactive investment in future capability. Viceroy alleges the company concealed losses rather than confronting them transparently. No evidence of leadership sacrificing short-term earnings for long-term organizational health. Score: 0/2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Arbor Realty Trust is a 22-year-old mortgage REIT trading at 7.5x forward earnings with a 15.6% dividend yield, offering deep value if the multifamily credit cycle stabilizes. The company maintains a diversified $12.6B loan portfolio across multifamily bridge, SFR, agency, and mezzanine lending, with the agency business providing stable recurring servicing income [1]. Forward P/E of 7.5x and profit margin of 27.3% indicate the market prices in extreme distress, and distributable earnings of $0.22/share (ex-losses) in Q4 2025 still cover the $0.30 quarterly dividend at a 73% payout ratio [1]. If interest rates decline and multifamily fundamentals recover, ABR could see significant loan performance improvement and stock re-rating from deeply depressed levels.</w:t>
      </w:r>
    </w:p>
    <w:p>
      <w:pPr>
        <w:spacing w:after="120"/>
      </w:pPr>
      <w:r>
        <w:rPr>
          <w:rFonts w:ascii="Calibri" w:hAnsi="Calibri"/>
          <w:b w:val="0"/>
          <w:color w:val="3A4A28"/>
          <w:sz w:val="20"/>
        </w:rPr>
        <w:t>The bear case is severe and multi-layered. The DOJ and FBI are investigating Arbor's lending practices and disclosures following Viceroy Research's 22 reports alleging fraud, asset overstatement, and off-balance-sheet loss concealment [2][3]. Three investor lawsuits allege the company concealed a 'toxic' portfolio to inflate share price. Nonperforming loans reached $464.8M with delinquencies rising to $1B, driven by Sun Belt multifamily distress on floating-rate bridge loans [3]. D/E of 362% means even modest further loan losses could impair equity. The dividend was already cut 30% in Q2 2025 and GAAP payout ratio of 237.5% signals further cuts are possible. Q4 2025 earnings fell 33% YoY with twice as many REO properties taken back [1]. Revenue declined 4.5% YoY. If the DOJ investigation results in enforcement action, the impact on the company's ability to maintain agency lending approvals (Fannie Mae DUS status) could be existential [3]. The stock has fallen from $15+ to $7.51, but may not yet reflect the full extent of credit deterioration in the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Interest rate cuts — lower rates would reduce borrower distress on Arbor's floating-rate bridge loan portfolio, improving loan performance and reducing nonperforming loans from the current $464.8M+ level [1]</w:t>
      </w:r>
    </w:p>
    <w:p>
      <w:pPr>
        <w:spacing w:before="40" w:after="40"/>
        <w:ind w:left="283"/>
      </w:pPr>
      <w:r>
        <w:rPr>
          <w:rFonts w:ascii="Calibri" w:hAnsi="Calibri"/>
          <w:b/>
          <w:color w:val="4A6B25"/>
          <w:sz w:val="20"/>
        </w:rPr>
        <w:t xml:space="preserve">2. </w:t>
      </w:r>
      <w:r>
        <w:rPr>
          <w:rFonts w:ascii="Calibri" w:hAnsi="Calibri"/>
          <w:b w:val="0"/>
          <w:color w:val="3A4A28"/>
          <w:sz w:val="20"/>
        </w:rPr>
        <w:t>DOJ/FBI investigation resolution — if cleared of wrongdoing, the overhang that has suppressed the stock from $15+ to $7.51 could lift, driving significant re-rating [3]</w:t>
      </w:r>
    </w:p>
    <w:p>
      <w:pPr>
        <w:spacing w:before="40" w:after="40"/>
        <w:ind w:left="283"/>
      </w:pPr>
      <w:r>
        <w:rPr>
          <w:rFonts w:ascii="Calibri" w:hAnsi="Calibri"/>
          <w:b/>
          <w:color w:val="4A6B25"/>
          <w:sz w:val="20"/>
        </w:rPr>
        <w:t xml:space="preserve">3. </w:t>
      </w:r>
      <w:r>
        <w:rPr>
          <w:rFonts w:ascii="Calibri" w:hAnsi="Calibri"/>
          <w:b w:val="0"/>
          <w:color w:val="3A4A28"/>
          <w:sz w:val="20"/>
        </w:rPr>
        <w:t>Multifamily supply-demand normalization — as new construction deliveries decline and renter demand absorbs excess supply, Sun Belt apartment fundamentals should stabilize, reducing foreclosure risk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DOJ/FBI investigation into lending practices and disclosures — enforcement action could result in fines, loss of agency lending approvals, or criminal charges against management [2][3]</w:t>
      </w:r>
    </w:p>
    <w:p>
      <w:pPr>
        <w:spacing w:before="40" w:after="40"/>
        <w:ind w:left="283"/>
      </w:pPr>
      <w:r>
        <w:rPr>
          <w:rFonts w:ascii="Calibri" w:hAnsi="Calibri"/>
          <w:b/>
          <w:color w:val="4A6B25"/>
          <w:sz w:val="20"/>
        </w:rPr>
        <w:t xml:space="preserve">2. </w:t>
      </w:r>
      <w:r>
        <w:rPr>
          <w:rFonts w:ascii="Calibri" w:hAnsi="Calibri"/>
          <w:b w:val="0"/>
          <w:color w:val="3A4A28"/>
          <w:sz w:val="20"/>
        </w:rPr>
        <w:t>Credit deterioration in the $12.6B loan portfolio — $1B in delinquencies with rising REO properties; further losses on Sun Belt multifamily bridge loans could impair equity given 362% D/E leverage [1][3]</w:t>
      </w:r>
    </w:p>
    <w:p>
      <w:pPr>
        <w:spacing w:before="40" w:after="40"/>
        <w:ind w:left="283"/>
      </w:pPr>
      <w:r>
        <w:rPr>
          <w:rFonts w:ascii="Calibri" w:hAnsi="Calibri"/>
          <w:b/>
          <w:color w:val="4A6B25"/>
          <w:sz w:val="20"/>
        </w:rPr>
        <w:t xml:space="preserve">3. </w:t>
      </w:r>
      <w:r>
        <w:rPr>
          <w:rFonts w:ascii="Calibri" w:hAnsi="Calibri"/>
          <w:b w:val="0"/>
          <w:color w:val="3A4A28"/>
          <w:sz w:val="20"/>
        </w:rPr>
        <w:t>Additional dividend cut risk — GAAP payout ratio of 237.5% and distributable earnings barely covering the current $0.30/quarter dividend; further loan losses would force another reduction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Mortgage REIT lending involves complex real estate underwriting, relationship-based deal origination, regulatory compliance (Fannie Mae/Freddie Mac/FHA), and physical property assessment that AI cannot easily replicate [1]. The agency business requires DUS lender approval and servicing capabilities built over decades. While AI may enhance underwriting analytics and loan processing efficiency, it cannot replace the regulatory infrastructure and borrower relationships that drive Arbor's business. Some competitive pressure from AI-enabled fintech lenders in the bridge lending space is possible but the regulatory moat is strong [2]. AI Opportunity (0/1): No evidence of Arbor generating revenue from AI-powered products or services. The company has not deployed AI tools with measurable results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Arbor Realty Trust Q4 &amp; FY2025 Earnings — $0.07 GAAP EPS, $0.22 distributable EPS (ex-losses), $0.30 dividend declared; dividend history and growth analysis, 2025-2026</w:t>
      </w:r>
    </w:p>
    <w:p>
      <w:pPr>
        <w:spacing w:before="20" w:after="20"/>
        <w:ind w:left="170"/>
      </w:pPr>
      <w:r>
        <w:rPr>
          <w:rFonts w:ascii="Calibri" w:hAnsi="Calibri"/>
          <w:b/>
          <w:color w:val="4A6B25"/>
          <w:sz w:val="15"/>
        </w:rPr>
        <w:t xml:space="preserve">2. </w:t>
      </w:r>
      <w:r>
        <w:rPr>
          <w:rFonts w:ascii="Calibri" w:hAnsi="Calibri"/>
          <w:b w:val="0"/>
          <w:color w:val="3A4A28"/>
          <w:sz w:val="17"/>
        </w:rPr>
        <w:t>Viceroy Research reports (22 total since November 2023); CEO Ivan Kaufman response; Seeking Alpha and Simply Wall St analysis, 2023-2026</w:t>
      </w:r>
    </w:p>
    <w:p>
      <w:pPr>
        <w:spacing w:before="20" w:after="20"/>
        <w:ind w:left="170"/>
      </w:pPr>
      <w:r>
        <w:rPr>
          <w:rFonts w:ascii="Calibri" w:hAnsi="Calibri"/>
          <w:b/>
          <w:color w:val="4A6B25"/>
          <w:sz w:val="15"/>
        </w:rPr>
        <w:t xml:space="preserve">3. </w:t>
      </w:r>
      <w:r>
        <w:rPr>
          <w:rFonts w:ascii="Calibri" w:hAnsi="Calibri"/>
          <w:b w:val="0"/>
          <w:color w:val="3A4A28"/>
          <w:sz w:val="17"/>
        </w:rPr>
        <w:t>Bisnow — DOJ/FBI investigation (July 2024); Hagens Berman investor lawsuits; Ningi Research 'toxic portfolio' allegations; CRE Daily lawsuit coverage, 2023-2026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ABR (Arbor Realty Trust),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