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ABT</w:t>
      </w:r>
      <w:r>
        <w:rPr>
          <w:rFonts w:ascii="Calibri" w:hAnsi="Calibri"/>
          <w:b/>
          <w:color w:val="1A2010"/>
          <w:sz w:val="40"/>
        </w:rPr>
        <w:t xml:space="preserve">  Abbott Laboratories</w:t>
      </w:r>
    </w:p>
    <w:p>
      <w:pPr>
        <w:spacing w:after="120"/>
      </w:pPr>
      <w:r>
        <w:rPr>
          <w:rFonts w:ascii="Calibri" w:hAnsi="Calibri"/>
          <w:b/>
          <w:color w:val="6E8450"/>
          <w:sz w:val="18"/>
        </w:rPr>
        <w:t>DIVIDEND SLEEVE · 2026-04-01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Abbott Laboratories discovers, develops, manufactures, and sells healthcare products worldwide across four segments: Established Pharmaceutical Products, Diagnostic Products, Nutritional Products, and Medical Devices. The company's portfolio includes FreeStyle Libre continuous glucose monitors, cardiac rhythm management devices, point-of-care diagnostics, and pediatric/adult nutritional products.</w:t>
      </w:r>
    </w:p>
    <w:p>
      <w:r>
        <w:rPr>
          <w:rFonts w:ascii="Calibri" w:hAnsi="Calibri"/>
          <w:b/>
          <w:color w:val="6E8450"/>
          <w:sz w:val="18"/>
        </w:rPr>
        <w:t>115,000 Employees · https://www.abbott.com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Abbott delivered 12 consecutive quarters of double-digit Medical Devices growth through Q4 2025, with organic sales up 10.4% in Q4 [1]. The FreeStyle Libre franchise continues to dominate the CGM market and the Lingo consumer wearable launched as Abbott's first AI-driven metabolic coaching platform [2]. The pending Exact Sciences acquisition signals bold entry into cancer diagnostics [1]. AI Deployment (2/2): Abbott has deployed AI across multiple business lines — the Lingo wearable uses AI-driven metabolic coaching, LibreView data integrates with Epic EHRs serving 500,000+ US clinicians with real-time glucose analytics, and an AI-guided TAVI system is in development for intelligent cardiac procedures [2]. Internally, ML models bolster quality-risk prediction and a five-point Responsible AI framework governs enterprise deployment [2]. Market Share (2/2): Abbott leads in continuous glucose monitoring with FreeStyle Libre, holds the #1 or #2 position in electrophysiology (Volt PFA System FDA-approved), and maintains leadership in rapid point-of-care diagnostics [1]. Product Pipeline (1/2): The Exact Sciences acquisition (expected Q2 2026 close) adds cancer screening diagnostics, Volt PFA System just received FDA clearance, and several new device launches are planned for 2026, though specific revenue targets are not yet disclosed [1]. R&amp;D Intensity (0/1): R&amp;D spending is solid but roughly in line with medical device peers at approximately 7-8% of revenue, not top-quartile for the broader healthcare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Abbott's purpose — 'creating breakthrough science to advance healthcare and help people live their fullest lives' — is specific and thoughtful, connecting the company's diversified healthcare portfolio to meaningful patient outcomes. CEO Robert Ford articulates a distinctive philosophy of self-disruption: 'I want us to keep disrupting ourselves,' with teams funding colleagues working on replacements for their own products [2]. This is genuinely intentional, not boilerplate. Community Impact (2/2): Abbott invests significantly in global health access programs, including the Abbott Fund which has committed over $100M to healthcare access in underserved communities. The company's sustainability report highlights partnerships for nutrition in developing countries and pandemic diagnostic distribution that reached 150+ countries [3]. Employee Retention (1/2): Abbott's 115,000 employees operate in a collaborative culture with the mantra 'All for one, one for all.' Approximately 96% of people leaders completed Leading with Impact training, and enterprise-wide AI prompt training demonstrates investment in workforce development [2]. However, specific retention or tenure data is not publicly disclosed. Insider Buying (1/2): CEO Ford and other executives maintain significant equity exposure through performance-based compensation; insider transactions are roughly balanced with no notable net buying surge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Abbott's financial profile is exceptionally strong for a dividend-paying healthcare company. D/E of 26.8% is well below the 70% target, reflecting conservative balance sheet management [4]. Forward P/E of 16.9x against 2026 EPS guidance of $5.55-$5.80 (10% growth at midpoint) represents attractive valuation for a Dividend King [1]. Revenue of $44.3B in FY2025 grew 5.7% reported (6.7% organic), with Medical Devices driving the acceleration [1]. Profit margin of 14.7% is below the 20% target but reflects Abbott's diversified portfolio including lower-margin nutritional and generic pharma segments. ROE of 13.0% is slightly below the 15% target. Dividend credentials are exceptional: 100+ consecutive years of dividends paid, 54 consecutive years of dividend growth (Dividend King status), payout ratio of 63.4%, and 5-year dividend growth CAGR of 10.4% — well above the 6% target [4]. Liquidity floor easily cleared: 11.4M avg volume × $103.36 = $1.18B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Abbott under CEO Robert Ford demonstrates strong infinite game characteristics — a genuine commitment to self-disruption, patient-focused innovation across 138 years of operations, and the courage to make transformative acquisitions like Exact Sciences. The collaborative culture and long dividend history reflect a company built to endure, though the organizational structure remains conventional for a large healthcare conglomerate.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Abbott's purpose of advancing healthcare to help people live their fullest lives is genuine and partially validated by 138 years of continuous operation through multiple industry transformations [2]. CEO Ford's self-disruption philosophy — where teams actively fund their own replacement products — demonstrates that the cause shapes strategy. However, the cause hasn't been as dramatically tested as the canonical examples (NVDA's 17-year CUDA bet), and Abbott's diversified portfolio sometimes feels more like conglomerate pragmatism than cause-driven coherence.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Abbott's 'All for one, one for all' culture and the cross-team self-disruption model require meaningful organizational trust — teams selling existing products must trust that funding colleagues' replacement innovations serves the greater good [2]. The company invested in enterprise-wide AI training (96% of people leaders in Leading with Impact), suggesting investment in employee development. However, with 115,000 employees across four diverse segments, specific evidence of exceptional psychological safety or below-average voluntary turnover is limited.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Ford's self-disruption philosophy inherently acknowledges that the company's greatest rival is its own complacency — a deeply infinite-game mindset [2]. Abbott competes against Medtronic, Dexcom, and Roche without framing competition in terms of destruction or dominance, instead focusing on advancing patient outcomes. The Exact Sciences acquisition brings in a worthy rival's capabilities rather than trying to build cancer diagnostics from scratch.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Abbott has demonstrated meaningful but incremental strategic flexibility. The 2013 AbbVie separation was a significant structural transformation that refocused Abbott on devices, diagnostics, and nutrition. The pivot from COVID testing revenue dependence (which inflated 2022 results) back to underlying organic growth shows adaptability [1]. The Exact Sciences acquisition signals willingness to enter entirely new therapeutic categories. However, these are evolutionary moves — Abbott has not made a truly transformative, bet-the-company pivot in the Sinek sense.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Abbott demonstrates a pattern of courageous long-term bets. The pending Exact Sciences acquisition represents a bold entry into cancer diagnostics that will transform Abbott's portfolio [1]. The company invested heavily in FreeStyle Libre CGM development over many years before it became the dominant franchise. CEO Ford's 'self-disruption' mandate — actively cannibalizing existing products to fund next-generation replacements — requires organizational courage that most healthcare companies avoid [2]. Abbott also navigated the baby formula crisis by accepting enhanced FDA oversight and investing in facility upgrades rather than fighting regulators [3]. Score: 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Abbott Laboratories is a healthcare stalwart delivering accelerating organic growth — FY2025 revenue of $44.3B grew 6.7% organically, driven by Medical Devices at 10.4% organic growth for the 12th consecutive double-digit quarter [1]. The company guides FY2026 adjusted EPS of $5.55-$5.80 (10% growth at midpoint) with 6.5-7.5% organic revenue growth, supported by the FreeStyle Libre franchise, Volt PFA System launch, and the transformative Exact Sciences acquisition entering cancer diagnostics [1]. At 16.9x forward P/E, Abbott is attractively valued for a Dividend King with 54 consecutive years of dividend growth, a 2.45% yield, and 10.4% five-year dividend growth CAGR. The conservative balance sheet (26.8% D/E) provides capacity for the Exact Sciences deal and continued dividend growth. AI integration across Lingo wearables, LibreView analytics, and AI-guided procedures positions Abbott as a healthcare AI leader [2].</w:t>
      </w:r>
    </w:p>
    <w:p>
      <w:pPr>
        <w:spacing w:after="120"/>
      </w:pPr>
      <w:r>
        <w:rPr>
          <w:rFonts w:ascii="Calibri" w:hAnsi="Calibri"/>
          <w:b w:val="0"/>
          <w:color w:val="3A4A28"/>
          <w:sz w:val="20"/>
        </w:rPr>
        <w:t>The bear case centers on acquisition execution risk and margin pressure. The Exact Sciences deal, expected to close Q2 2026, carries integration risk and will require Abbott to prove it can manage a fifth business segment in cancer diagnostics without diluting management focus [1]. Profit margin of 14.7% is below healthcare peer averages, reflecting the lower-margin Nutritional and Established Pharmaceuticals segments that dilute the high-margin Medical Devices business. ROE of 13.0% is adequate but not exceptional, limited by the diversified portfolio structure. The baby formula crisis — which resulted in DOJ oversight and dozens of lawsuits — remains a reputational overhang even as operations have recovered [3]. FY2025 GAAP EPS of $3.72 (vs. adjusted $5.15) reveals significant adjustments that inflate the earnings quality picture. Revenue growth of 4.4% YoY on a reported basis trails the organic rate due to currency headwinds, and the 5-year revenue CAGR of ~5.1% is modest for a company valued at nearly $180B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Exact Sciences acquisition expected to close Q2 2026, creating a leader in the fast-growing cancer diagnostics market and adding a new high-growth revenue stream [1]</w:t>
      </w:r>
    </w:p>
    <w:p>
      <w:pPr>
        <w:spacing w:before="40" w:after="40"/>
        <w:ind w:left="283"/>
      </w:pPr>
      <w:r>
        <w:rPr>
          <w:rFonts w:ascii="Calibri" w:hAnsi="Calibri"/>
          <w:b/>
          <w:color w:val="4A6B25"/>
          <w:sz w:val="20"/>
        </w:rPr>
        <w:t xml:space="preserve">2. </w:t>
      </w:r>
      <w:r>
        <w:rPr>
          <w:rFonts w:ascii="Calibri" w:hAnsi="Calibri"/>
          <w:b w:val="0"/>
          <w:color w:val="3A4A28"/>
          <w:sz w:val="20"/>
        </w:rPr>
        <w:t>FreeStyle Libre franchise expansion and Volt PFA System U.S. launch driving continued double-digit Medical Devices organic growth through 2026 [1]</w:t>
      </w:r>
    </w:p>
    <w:p>
      <w:pPr>
        <w:spacing w:before="40" w:after="40"/>
        <w:ind w:left="283"/>
      </w:pPr>
      <w:r>
        <w:rPr>
          <w:rFonts w:ascii="Calibri" w:hAnsi="Calibri"/>
          <w:b/>
          <w:color w:val="4A6B25"/>
          <w:sz w:val="20"/>
        </w:rPr>
        <w:t xml:space="preserve">3. </w:t>
      </w:r>
      <w:r>
        <w:rPr>
          <w:rFonts w:ascii="Calibri" w:hAnsi="Calibri"/>
          <w:b w:val="0"/>
          <w:color w:val="3A4A28"/>
          <w:sz w:val="20"/>
        </w:rPr>
        <w:t>AI-powered platform expansion — Lingo metabolic coaching, LibreView analytics for 500K+ clinicians, and AI-guided TAVI procedures creating differentiated healthcare technology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Exact Sciences integration execution risk — managing a fifth business segment in cancer diagnostics could dilute management focus and strain the organization during a complex merger [1]</w:t>
      </w:r>
    </w:p>
    <w:p>
      <w:pPr>
        <w:spacing w:before="40" w:after="40"/>
        <w:ind w:left="283"/>
      </w:pPr>
      <w:r>
        <w:rPr>
          <w:rFonts w:ascii="Calibri" w:hAnsi="Calibri"/>
          <w:b/>
          <w:color w:val="4A6B25"/>
          <w:sz w:val="20"/>
        </w:rPr>
        <w:t xml:space="preserve">2. </w:t>
      </w:r>
      <w:r>
        <w:rPr>
          <w:rFonts w:ascii="Calibri" w:hAnsi="Calibri"/>
          <w:b w:val="0"/>
          <w:color w:val="3A4A28"/>
          <w:sz w:val="20"/>
        </w:rPr>
        <w:t>Baby formula litigation and DOJ oversight overhang — dozens of pending lawsuits and enhanced FDA oversight from the 2022 Sturgis plant crisis remain unresolved reputational and financial risks [3]</w:t>
      </w:r>
    </w:p>
    <w:p>
      <w:pPr>
        <w:spacing w:before="40" w:after="40"/>
        <w:ind w:left="283"/>
      </w:pPr>
      <w:r>
        <w:rPr>
          <w:rFonts w:ascii="Calibri" w:hAnsi="Calibri"/>
          <w:b/>
          <w:color w:val="4A6B25"/>
          <w:sz w:val="20"/>
        </w:rPr>
        <w:t xml:space="preserve">3. </w:t>
      </w:r>
      <w:r>
        <w:rPr>
          <w:rFonts w:ascii="Calibri" w:hAnsi="Calibri"/>
          <w:b w:val="0"/>
          <w:color w:val="3A4A28"/>
          <w:sz w:val="20"/>
        </w:rPr>
        <w:t>Margin compression from the diversified portfolio — Nutritional and Established Pharmaceuticals segments operate at materially lower margins than Medical Devices, capping consolidated profit margin improvement despite strong device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Abbott's core business — physical medical devices, diagnostics instruments, nutritional products, and pharmaceuticals — requires manufacturing, regulatory approval, and clinical validation that AI cannot replicate or substitute [2]. CGM sensors, cardiac devices, and diagnostic cartridges are physical products with high switching costs and regulatory moats. However, Abbott's diagnostics software and data analytics layers face potential competition from AI-native diagnostics startups, and the nutritional business has minimal AI-related protection or risk. Analysts do not flag AI as a displacement risk for Abbott's core revenue streams. AI Opportunity (1/1): Abbott generates meaningful AI-related revenue through the Lingo AI-driven metabolic coaching wearable (CES Innovation Award), LibreView real-time glucose analytics platform serving 500,000+ clinicians, and AI-guided procedural systems in development [2]. The company elevated its AI-savvy CIO to the executive suite and published an enterprise Responsible AI framework, signaling strategic commitment to AI-driven revenue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Abbott Q4 &amp; Full-Year 2025 Earnings Release — $44.3B revenue, 6.7% organic growth, FY2026 EPS guidance $5.55-$5.80, January 22, 2026</w:t>
      </w:r>
    </w:p>
    <w:p>
      <w:pPr>
        <w:spacing w:before="20" w:after="20"/>
        <w:ind w:left="170"/>
      </w:pPr>
      <w:r>
        <w:rPr>
          <w:rFonts w:ascii="Calibri" w:hAnsi="Calibri"/>
          <w:b/>
          <w:color w:val="4A6B25"/>
          <w:sz w:val="15"/>
        </w:rPr>
        <w:t xml:space="preserve">2. </w:t>
      </w:r>
      <w:r>
        <w:rPr>
          <w:rFonts w:ascii="Calibri" w:hAnsi="Calibri"/>
          <w:b w:val="0"/>
          <w:color w:val="3A4A28"/>
          <w:sz w:val="17"/>
        </w:rPr>
        <w:t>Klover.ai — Abbott's AI Strategy: Analysis of AI Dominance in Medical Devices, Healthcare; Abbott CEO commentary on self-disruption culture, 2025-2026</w:t>
      </w:r>
    </w:p>
    <w:p>
      <w:pPr>
        <w:spacing w:before="20" w:after="20"/>
        <w:ind w:left="170"/>
      </w:pPr>
      <w:r>
        <w:rPr>
          <w:rFonts w:ascii="Calibri" w:hAnsi="Calibri"/>
          <w:b/>
          <w:color w:val="4A6B25"/>
          <w:sz w:val="15"/>
        </w:rPr>
        <w:t xml:space="preserve">3. </w:t>
      </w:r>
      <w:r>
        <w:rPr>
          <w:rFonts w:ascii="Calibri" w:hAnsi="Calibri"/>
          <w:b w:val="0"/>
          <w:color w:val="3A4A28"/>
          <w:sz w:val="17"/>
        </w:rPr>
        <w:t>Bloomberg Law / Crain's Chicago Business — Abbott baby formula ESG controversy, DOJ oversight, and Sustainalytics controversy rating of 3 (Significant)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ABT (Abbott Laboratories),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